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9CF10" w14:textId="77777777" w:rsidR="00833747" w:rsidRPr="00DD74FA" w:rsidRDefault="00833747" w:rsidP="00833747">
      <w:pPr>
        <w:pStyle w:val="Heading1"/>
        <w:ind w:right="545"/>
        <w:rPr>
          <w:color w:val="1F4E79"/>
        </w:rPr>
      </w:pPr>
      <w:bookmarkStart w:id="0" w:name="_GoBack"/>
      <w:bookmarkEnd w:id="0"/>
      <w:r>
        <w:rPr>
          <w:rStyle w:val="Heading1"/>
          <w:color w:val="1F4E79"/>
        </w:rPr>
        <w:t>Point 3 de l</w:t>
      </w:r>
      <w:r>
        <w:rPr>
          <w:rStyle w:val="Heading1"/>
          <w:rFonts w:cs="Century Gothic"/>
          <w:color w:val="1F4E79"/>
          <w:cs/>
        </w:rPr>
        <w:t>’</w:t>
      </w:r>
      <w:r>
        <w:rPr>
          <w:rStyle w:val="Heading1"/>
          <w:color w:val="1F4E79"/>
        </w:rPr>
        <w:t xml:space="preserve">ordre du jour : </w:t>
      </w:r>
      <w:r w:rsidR="00410E7B">
        <w:rPr>
          <w:rStyle w:val="Heading1"/>
          <w:color w:val="1F4E79"/>
        </w:rPr>
        <w:t>r</w:t>
      </w:r>
      <w:r>
        <w:rPr>
          <w:rStyle w:val="Heading1"/>
          <w:color w:val="1F4E79"/>
        </w:rPr>
        <w:t>èglement général sur la protection des données (Aperçu du RGPD)</w:t>
      </w:r>
    </w:p>
    <w:p w14:paraId="11C96205" w14:textId="77777777" w:rsidR="00833747" w:rsidRDefault="00833747" w:rsidP="00833747">
      <w:pPr>
        <w:pStyle w:val="Heading2"/>
      </w:pPr>
      <w:r>
        <w:rPr>
          <w:rStyle w:val="Heading2"/>
        </w:rPr>
        <w:t>Problématiques</w:t>
      </w:r>
    </w:p>
    <w:p w14:paraId="75C21F0C" w14:textId="77777777" w:rsidR="00833747" w:rsidRDefault="00833747" w:rsidP="00833747">
      <w:pPr>
        <w:pStyle w:val="BodyText"/>
      </w:pPr>
      <w:r>
        <w:rPr>
          <w:rStyle w:val="BodyText"/>
        </w:rPr>
        <w:t>Il s</w:t>
      </w:r>
      <w:r>
        <w:rPr>
          <w:rStyle w:val="BodyText"/>
          <w:rFonts w:cs="Century Gothic"/>
          <w:cs/>
        </w:rPr>
        <w:t>’</w:t>
      </w:r>
      <w:r>
        <w:rPr>
          <w:rStyle w:val="BodyText"/>
        </w:rPr>
        <w:t>agit d</w:t>
      </w:r>
      <w:r>
        <w:rPr>
          <w:rStyle w:val="BodyText"/>
          <w:rFonts w:cs="Century Gothic"/>
          <w:cs/>
        </w:rPr>
        <w:t>’</w:t>
      </w:r>
      <w:r>
        <w:rPr>
          <w:rStyle w:val="BodyText"/>
        </w:rPr>
        <w:t>une première séance de présentation sur les implications politiques de la conformité de l</w:t>
      </w:r>
      <w:r>
        <w:rPr>
          <w:rStyle w:val="BodyText"/>
          <w:rFonts w:cs="Century Gothic"/>
          <w:cs/>
        </w:rPr>
        <w:t>’</w:t>
      </w:r>
      <w:r>
        <w:rPr>
          <w:rStyle w:val="BodyText"/>
        </w:rPr>
        <w:t>ICANN avec le RGPD Elle a été conçue comme une occasion pour que le GAC analyse la situation actuelle et envisage la meilleure façon de poursuivre ses objectifs au cours de la réunion ICANN 62.</w:t>
      </w:r>
    </w:p>
    <w:p w14:paraId="332E0945" w14:textId="77777777" w:rsidR="00833747" w:rsidRDefault="00833747" w:rsidP="00833747">
      <w:pPr>
        <w:pStyle w:val="Heading2"/>
      </w:pPr>
      <w:r>
        <w:rPr>
          <w:rStyle w:val="Heading2"/>
        </w:rPr>
        <w:t>Action requise de la part du GAC</w:t>
      </w:r>
    </w:p>
    <w:p w14:paraId="082663ED" w14:textId="77777777" w:rsidR="00833747" w:rsidRDefault="00833747" w:rsidP="00833747">
      <w:pPr>
        <w:pStyle w:val="BodyText"/>
      </w:pPr>
      <w:r>
        <w:rPr>
          <w:rStyle w:val="BodyText"/>
        </w:rPr>
        <w:t>Le GAC devrait envisager la priorité :</w:t>
      </w:r>
    </w:p>
    <w:p w14:paraId="43D435FE" w14:textId="77777777" w:rsidR="00833747" w:rsidRDefault="00410E7B" w:rsidP="00833747">
      <w:pPr>
        <w:pStyle w:val="BodyText"/>
        <w:numPr>
          <w:ilvl w:val="0"/>
          <w:numId w:val="24"/>
        </w:numPr>
      </w:pPr>
      <w:r>
        <w:rPr>
          <w:rStyle w:val="BodyText"/>
        </w:rPr>
        <w:t>Des</w:t>
      </w:r>
      <w:r w:rsidR="00833747">
        <w:rPr>
          <w:rStyle w:val="BodyText"/>
        </w:rPr>
        <w:t xml:space="preserve"> responsabilités et protocoles du GAC pour résoudre les questions en suspens, notamment en ce qui concerne le WHOIS et le RGPD, y compris :</w:t>
      </w:r>
    </w:p>
    <w:p w14:paraId="3F282245" w14:textId="77777777" w:rsidR="00833747" w:rsidRDefault="00410E7B" w:rsidP="00833747">
      <w:pPr>
        <w:pStyle w:val="BodyText"/>
        <w:numPr>
          <w:ilvl w:val="0"/>
          <w:numId w:val="25"/>
        </w:numPr>
      </w:pPr>
      <w:r>
        <w:rPr>
          <w:rStyle w:val="BodyText"/>
        </w:rPr>
        <w:t>Reconnaître</w:t>
      </w:r>
      <w:r w:rsidR="00833747">
        <w:rPr>
          <w:rStyle w:val="BodyText"/>
        </w:rPr>
        <w:t xml:space="preserve"> que l</w:t>
      </w:r>
      <w:r w:rsidR="00833747">
        <w:rPr>
          <w:rStyle w:val="BodyText"/>
          <w:rFonts w:cs="Century Gothic"/>
          <w:cs/>
        </w:rPr>
        <w:t>’</w:t>
      </w:r>
      <w:r w:rsidR="00833747">
        <w:rPr>
          <w:rStyle w:val="BodyText"/>
        </w:rPr>
        <w:t>obtention de bons résultats des politiques publiques dans ce domaine est une question qui doit être envisagée par l</w:t>
      </w:r>
      <w:r w:rsidR="00833747">
        <w:rPr>
          <w:rStyle w:val="BodyText"/>
          <w:rFonts w:cs="Century Gothic"/>
          <w:cs/>
        </w:rPr>
        <w:t>’</w:t>
      </w:r>
      <w:r w:rsidR="00833747">
        <w:rPr>
          <w:rStyle w:val="BodyText"/>
        </w:rPr>
        <w:t xml:space="preserve">ensemble du GAC et si cela était utile, avec le soutien du Groupe de travail du GAC sur la sécurité publique (PSWG). </w:t>
      </w:r>
    </w:p>
    <w:p w14:paraId="01B79879" w14:textId="77777777" w:rsidR="00833747" w:rsidRDefault="00410E7B" w:rsidP="00833747">
      <w:pPr>
        <w:pStyle w:val="BodyText"/>
        <w:numPr>
          <w:ilvl w:val="0"/>
          <w:numId w:val="25"/>
        </w:numPr>
      </w:pPr>
      <w:r>
        <w:rPr>
          <w:rStyle w:val="BodyText"/>
        </w:rPr>
        <w:t>Confirmer</w:t>
      </w:r>
      <w:r w:rsidR="00833747">
        <w:rPr>
          <w:rStyle w:val="BodyText"/>
        </w:rPr>
        <w:t xml:space="preserve"> que le groupe de coordination des membres du GAC facilite la participation du GAC à tout processus d</w:t>
      </w:r>
      <w:r w:rsidR="00833747">
        <w:rPr>
          <w:rStyle w:val="BodyText"/>
          <w:rFonts w:cs="Century Gothic"/>
          <w:cs/>
        </w:rPr>
        <w:t>’</w:t>
      </w:r>
      <w:r w:rsidR="00833747">
        <w:rPr>
          <w:rStyle w:val="BodyText"/>
        </w:rPr>
        <w:t>élaboration de politiques de la GNSO et peut-être à d</w:t>
      </w:r>
      <w:r w:rsidR="00833747">
        <w:rPr>
          <w:rStyle w:val="BodyText"/>
          <w:rFonts w:cs="Century Gothic"/>
          <w:cs/>
        </w:rPr>
        <w:t>’</w:t>
      </w:r>
      <w:r w:rsidR="00833747">
        <w:rPr>
          <w:rStyle w:val="BodyText"/>
        </w:rPr>
        <w:t>autres processus communautaires : les bénévoles actuels sont l</w:t>
      </w:r>
      <w:r w:rsidR="00833747">
        <w:rPr>
          <w:rStyle w:val="BodyText"/>
          <w:rFonts w:cs="Century Gothic"/>
          <w:cs/>
        </w:rPr>
        <w:t>’</w:t>
      </w:r>
      <w:r w:rsidR="00833747">
        <w:rPr>
          <w:rStyle w:val="BodyText"/>
        </w:rPr>
        <w:t>Inde, les États-Unis, la Commission européenne et les co-présidents du PSWG.</w:t>
      </w:r>
    </w:p>
    <w:p w14:paraId="7B61008B" w14:textId="77777777" w:rsidR="00833747" w:rsidRDefault="00410E7B" w:rsidP="00833747">
      <w:pPr>
        <w:pStyle w:val="BodyText"/>
        <w:numPr>
          <w:ilvl w:val="0"/>
          <w:numId w:val="24"/>
        </w:numPr>
      </w:pPr>
      <w:r>
        <w:rPr>
          <w:rStyle w:val="BodyText"/>
        </w:rPr>
        <w:t>Limiter</w:t>
      </w:r>
      <w:r w:rsidR="00833747">
        <w:rPr>
          <w:rStyle w:val="BodyText"/>
        </w:rPr>
        <w:t xml:space="preserve"> l</w:t>
      </w:r>
      <w:r w:rsidR="00833747">
        <w:rPr>
          <w:rStyle w:val="BodyText"/>
          <w:rFonts w:cs="Century Gothic"/>
          <w:cs/>
        </w:rPr>
        <w:t>’</w:t>
      </w:r>
      <w:r w:rsidR="00833747">
        <w:rPr>
          <w:rStyle w:val="BodyText"/>
        </w:rPr>
        <w:t>avis du GAC au Conseil d</w:t>
      </w:r>
      <w:r w:rsidR="00833747">
        <w:rPr>
          <w:rStyle w:val="BodyText"/>
          <w:rFonts w:cs="Century Gothic"/>
          <w:cs/>
        </w:rPr>
        <w:t>’</w:t>
      </w:r>
      <w:r w:rsidR="00833747">
        <w:rPr>
          <w:rStyle w:val="BodyText"/>
        </w:rPr>
        <w:t>administration sur ce point aux domaines où l</w:t>
      </w:r>
      <w:r w:rsidR="00833747">
        <w:rPr>
          <w:rStyle w:val="BodyText"/>
          <w:rFonts w:cs="Century Gothic"/>
          <w:cs/>
        </w:rPr>
        <w:t>’</w:t>
      </w:r>
      <w:r w:rsidR="00833747">
        <w:rPr>
          <w:rStyle w:val="BodyText"/>
        </w:rPr>
        <w:t>action du Conseil est vraiment possible ; et compléter tout avis avec un engagement actif dans d</w:t>
      </w:r>
      <w:r w:rsidR="00833747">
        <w:rPr>
          <w:rStyle w:val="BodyText"/>
          <w:rFonts w:cs="Century Gothic"/>
          <w:cs/>
        </w:rPr>
        <w:t>’</w:t>
      </w:r>
      <w:r w:rsidR="00833747">
        <w:rPr>
          <w:rStyle w:val="BodyText"/>
        </w:rPr>
        <w:t xml:space="preserve">autres processus, y compris le PDP de la GNSO. </w:t>
      </w:r>
    </w:p>
    <w:p w14:paraId="535EC33E" w14:textId="77777777" w:rsidR="00833747" w:rsidRDefault="00410E7B" w:rsidP="00833747">
      <w:pPr>
        <w:pStyle w:val="BodyText"/>
        <w:numPr>
          <w:ilvl w:val="0"/>
          <w:numId w:val="24"/>
        </w:numPr>
      </w:pPr>
      <w:r>
        <w:rPr>
          <w:rStyle w:val="BodyText"/>
        </w:rPr>
        <w:t xml:space="preserve">Reconnaître </w:t>
      </w:r>
      <w:r w:rsidR="00833747">
        <w:rPr>
          <w:rStyle w:val="BodyText"/>
        </w:rPr>
        <w:t>que les objectifs politiques de fond du GAC sont en ce moment les éléments suivants de l</w:t>
      </w:r>
      <w:r w:rsidR="00833747">
        <w:rPr>
          <w:rStyle w:val="BodyText"/>
          <w:rFonts w:cs="Century Gothic"/>
          <w:cs/>
        </w:rPr>
        <w:t>’</w:t>
      </w:r>
      <w:r w:rsidR="00833747">
        <w:rPr>
          <w:rStyle w:val="BodyText"/>
        </w:rPr>
        <w:t xml:space="preserve">avis du GAC en suspens du </w:t>
      </w:r>
      <w:hyperlink r:id="rId8" w:history="1">
        <w:r w:rsidR="00833747">
          <w:rPr>
            <w:rStyle w:val="Hyperlink"/>
          </w:rPr>
          <w:t>communiqué de San Juan</w:t>
        </w:r>
      </w:hyperlink>
      <w:r w:rsidR="00833747">
        <w:rPr>
          <w:rStyle w:val="BodyText"/>
        </w:rPr>
        <w:t xml:space="preserve"> (Note : Le Conseil a </w:t>
      </w:r>
      <w:hyperlink r:id="rId9" w:history="1">
        <w:r w:rsidR="00833747">
          <w:rPr>
            <w:rStyle w:val="Hyperlink"/>
          </w:rPr>
          <w:t>remis à plus tard</w:t>
        </w:r>
      </w:hyperlink>
      <w:r w:rsidR="00833747">
        <w:rPr>
          <w:rStyle w:val="FootnoteReference"/>
          <w:color w:val="0000FF"/>
          <w:u w:val="single"/>
        </w:rPr>
        <w:footnoteReference w:id="1"/>
      </w:r>
      <w:r w:rsidR="00833747">
        <w:rPr>
          <w:rStyle w:val="BodyText"/>
        </w:rPr>
        <w:t xml:space="preserve"> sa réponse mais a inclus les points forts dans l</w:t>
      </w:r>
      <w:r w:rsidR="00833747">
        <w:rPr>
          <w:rStyle w:val="BodyText"/>
          <w:rFonts w:cs="Century Gothic"/>
          <w:cs/>
        </w:rPr>
        <w:t>’</w:t>
      </w:r>
      <w:r w:rsidR="00833747">
        <w:rPr>
          <w:rStyle w:val="BodyText"/>
          <w:i/>
        </w:rPr>
        <w:t>annexe de la spécification temporaire : Questions importantes pour l</w:t>
      </w:r>
      <w:r w:rsidR="00833747">
        <w:rPr>
          <w:rStyle w:val="BodyText"/>
          <w:rFonts w:cs="Century Gothic"/>
          <w:i/>
          <w:cs/>
        </w:rPr>
        <w:t>’</w:t>
      </w:r>
      <w:r w:rsidR="00833747">
        <w:rPr>
          <w:rStyle w:val="BodyText"/>
          <w:i/>
        </w:rPr>
        <w:t>intervention ultérieure de la communauté</w:t>
      </w:r>
      <w:r w:rsidR="00833747">
        <w:rPr>
          <w:rStyle w:val="BodyText"/>
        </w:rPr>
        <w:t>) :</w:t>
      </w:r>
    </w:p>
    <w:p w14:paraId="7574FDE8" w14:textId="77777777" w:rsidR="00833747" w:rsidRDefault="00833747" w:rsidP="00833747">
      <w:pPr>
        <w:pStyle w:val="BodyText"/>
        <w:numPr>
          <w:ilvl w:val="0"/>
          <w:numId w:val="27"/>
        </w:numPr>
      </w:pPr>
      <w:r>
        <w:rPr>
          <w:rStyle w:val="BodyText"/>
        </w:rPr>
        <w:t>Faire la distinction entre personnes morales et physiques permettant aux entités juridiques qui ne sont pas comprises dans la portée du RGPD l</w:t>
      </w:r>
      <w:r>
        <w:rPr>
          <w:rStyle w:val="BodyText"/>
          <w:rFonts w:cs="Century Gothic"/>
          <w:cs/>
        </w:rPr>
        <w:t>’</w:t>
      </w:r>
      <w:r>
        <w:rPr>
          <w:rStyle w:val="BodyText"/>
        </w:rPr>
        <w:t>accès public aux données WHOIS.</w:t>
      </w:r>
    </w:p>
    <w:p w14:paraId="243DAC10" w14:textId="77777777" w:rsidR="00833747" w:rsidRDefault="00833747" w:rsidP="00833747">
      <w:pPr>
        <w:pStyle w:val="BodyText"/>
        <w:numPr>
          <w:ilvl w:val="0"/>
          <w:numId w:val="27"/>
        </w:numPr>
      </w:pPr>
      <w:r>
        <w:rPr>
          <w:rStyle w:val="BodyText"/>
        </w:rPr>
        <w:t>Assurer l</w:t>
      </w:r>
      <w:r>
        <w:rPr>
          <w:rStyle w:val="BodyText"/>
          <w:rFonts w:cs="Century Gothic"/>
          <w:cs/>
        </w:rPr>
        <w:t>’</w:t>
      </w:r>
      <w:r>
        <w:rPr>
          <w:rStyle w:val="BodyText"/>
        </w:rPr>
        <w:t>accès continu aux données WHOIS, y compris aux données non publiques, aux utilisateurs ayant un but légitime, jusqu</w:t>
      </w:r>
      <w:r>
        <w:rPr>
          <w:rStyle w:val="BodyText"/>
          <w:rFonts w:cs="Century Gothic"/>
          <w:cs/>
        </w:rPr>
        <w:t>’</w:t>
      </w:r>
      <w:r>
        <w:rPr>
          <w:rStyle w:val="BodyText"/>
        </w:rPr>
        <w:t>au moment où le modèle WHOIS intérimaire soit pleinement opérationnel et que cela soit obligatoire pour toutes les parties contractantes.</w:t>
      </w:r>
    </w:p>
    <w:p w14:paraId="6CFEA22C" w14:textId="77777777" w:rsidR="00833747" w:rsidRDefault="00833747" w:rsidP="00833747">
      <w:pPr>
        <w:pStyle w:val="BodyText"/>
        <w:numPr>
          <w:ilvl w:val="0"/>
          <w:numId w:val="27"/>
        </w:numPr>
      </w:pPr>
      <w:r>
        <w:rPr>
          <w:rStyle w:val="BodyText"/>
        </w:rPr>
        <w:t>Assurer que les limitations en termes de volume de requêtes envisagées dans le cadre d</w:t>
      </w:r>
      <w:r>
        <w:rPr>
          <w:rStyle w:val="BodyText"/>
          <w:rFonts w:cs="Century Gothic"/>
          <w:cs/>
        </w:rPr>
        <w:t>’</w:t>
      </w:r>
      <w:r>
        <w:rPr>
          <w:rStyle w:val="BodyText"/>
        </w:rPr>
        <w:t>un programme d</w:t>
      </w:r>
      <w:r>
        <w:rPr>
          <w:rStyle w:val="BodyText"/>
          <w:rFonts w:cs="Century Gothic"/>
          <w:cs/>
        </w:rPr>
        <w:t>’</w:t>
      </w:r>
      <w:r>
        <w:rPr>
          <w:rStyle w:val="BodyText"/>
        </w:rPr>
        <w:t>accréditation soient en équilibre avec les besoins réels de référence croisée.</w:t>
      </w:r>
    </w:p>
    <w:p w14:paraId="7FA0734F" w14:textId="77777777" w:rsidR="00833747" w:rsidRDefault="00833747" w:rsidP="00833747">
      <w:pPr>
        <w:pStyle w:val="BodyText"/>
        <w:numPr>
          <w:ilvl w:val="0"/>
          <w:numId w:val="27"/>
        </w:numPr>
      </w:pPr>
      <w:r>
        <w:rPr>
          <w:rStyle w:val="BodyText"/>
        </w:rPr>
        <w:t>Assurer la confidentialité des requêtes WHOIS par les organismes d</w:t>
      </w:r>
      <w:r>
        <w:rPr>
          <w:rStyle w:val="BodyText"/>
          <w:rFonts w:cs="Century Gothic"/>
          <w:cs/>
        </w:rPr>
        <w:t>’</w:t>
      </w:r>
      <w:r>
        <w:rPr>
          <w:rStyle w:val="BodyText"/>
        </w:rPr>
        <w:t>application de la loi.</w:t>
      </w:r>
    </w:p>
    <w:p w14:paraId="49748B52" w14:textId="77777777" w:rsidR="00833747" w:rsidRDefault="00833747" w:rsidP="00833747">
      <w:pPr>
        <w:pStyle w:val="BodyText"/>
        <w:numPr>
          <w:ilvl w:val="0"/>
          <w:numId w:val="24"/>
        </w:numPr>
      </w:pPr>
      <w:r>
        <w:rPr>
          <w:rStyle w:val="BodyText"/>
        </w:rPr>
        <w:lastRenderedPageBreak/>
        <w:t>Assurer l</w:t>
      </w:r>
      <w:r>
        <w:rPr>
          <w:rStyle w:val="BodyText"/>
          <w:rFonts w:cs="Century Gothic"/>
          <w:cs/>
        </w:rPr>
        <w:t>’</w:t>
      </w:r>
      <w:r>
        <w:rPr>
          <w:rStyle w:val="BodyText"/>
        </w:rPr>
        <w:t>engagement des membres du GAC et du PSWG dans les séances pertinentes de la réunion ICANN 62, y compris les séances intercommunautaires sur la conformité avec le RGPD, l</w:t>
      </w:r>
      <w:r>
        <w:rPr>
          <w:rStyle w:val="BodyText"/>
          <w:rFonts w:cs="Century Gothic"/>
          <w:cs/>
        </w:rPr>
        <w:t>’</w:t>
      </w:r>
      <w:r>
        <w:rPr>
          <w:rStyle w:val="BodyText"/>
        </w:rPr>
        <w:t>accès au WHOIS et l</w:t>
      </w:r>
      <w:r>
        <w:rPr>
          <w:rStyle w:val="BodyText"/>
          <w:rFonts w:cs="Century Gothic"/>
          <w:cs/>
        </w:rPr>
        <w:t>’</w:t>
      </w:r>
      <w:r>
        <w:rPr>
          <w:rStyle w:val="BodyText"/>
        </w:rPr>
        <w:t>accréditation et la réunion du GAC avec le Conseil d</w:t>
      </w:r>
      <w:r>
        <w:rPr>
          <w:rStyle w:val="BodyText"/>
          <w:rFonts w:cs="Century Gothic"/>
          <w:cs/>
        </w:rPr>
        <w:t>’</w:t>
      </w:r>
      <w:r>
        <w:rPr>
          <w:rStyle w:val="BodyText"/>
        </w:rPr>
        <w:t>administration de l</w:t>
      </w:r>
      <w:r>
        <w:rPr>
          <w:rStyle w:val="BodyText"/>
          <w:rFonts w:cs="Century Gothic"/>
          <w:cs/>
        </w:rPr>
        <w:t>’</w:t>
      </w:r>
      <w:r>
        <w:rPr>
          <w:rStyle w:val="BodyText"/>
        </w:rPr>
        <w:t>ICANN pour plaider en faveur et obtenir le soutien de la communauté pour les objectifs mentionnés ci-dessus.</w:t>
      </w:r>
    </w:p>
    <w:p w14:paraId="171198BE" w14:textId="77777777" w:rsidR="00833747" w:rsidRDefault="00833747" w:rsidP="00833747">
      <w:pPr>
        <w:pStyle w:val="Heading2"/>
      </w:pPr>
      <w:r>
        <w:rPr>
          <w:rStyle w:val="Heading2"/>
        </w:rPr>
        <w:t>Position actuelle</w:t>
      </w:r>
    </w:p>
    <w:p w14:paraId="191D5D3C" w14:textId="77777777" w:rsidR="00833747" w:rsidRDefault="00833747" w:rsidP="00833747">
      <w:pPr>
        <w:pStyle w:val="BodyText"/>
      </w:pPr>
      <w:r>
        <w:rPr>
          <w:rStyle w:val="BodyText"/>
        </w:rPr>
        <w:t>Voici un résumé d</w:t>
      </w:r>
      <w:r>
        <w:rPr>
          <w:rStyle w:val="BodyText"/>
          <w:rFonts w:cs="Century Gothic"/>
          <w:cs/>
        </w:rPr>
        <w:t>’</w:t>
      </w:r>
      <w:r>
        <w:rPr>
          <w:rStyle w:val="BodyText"/>
        </w:rPr>
        <w:t xml:space="preserve">un ensemble complexe de questions. Des informations plus détaillées sont disponibles sur le </w:t>
      </w:r>
      <w:hyperlink r:id="rId10" w:history="1">
        <w:r>
          <w:rPr>
            <w:rStyle w:val="Hyperlink"/>
          </w:rPr>
          <w:t>site web du GAC</w:t>
        </w:r>
      </w:hyperlink>
      <w:r>
        <w:rPr>
          <w:rStyle w:val="BodyText"/>
        </w:rPr>
        <w:t xml:space="preserve"> et dans les liens fournis ci-dessous.</w:t>
      </w:r>
    </w:p>
    <w:p w14:paraId="168E80B8" w14:textId="77777777" w:rsidR="00833747" w:rsidRDefault="00833747" w:rsidP="00833747">
      <w:pPr>
        <w:pStyle w:val="BodyText"/>
      </w:pPr>
      <w:r>
        <w:rPr>
          <w:rStyle w:val="BodyText"/>
        </w:rPr>
        <w:t>Le Règlement général sur la protection des données (RGPD) est entré en vigueur le 25 mai 2018. Le Conseil d</w:t>
      </w:r>
      <w:r>
        <w:rPr>
          <w:rStyle w:val="BodyText"/>
          <w:rFonts w:cs="Century Gothic"/>
          <w:cs/>
        </w:rPr>
        <w:t>’</w:t>
      </w:r>
      <w:r>
        <w:rPr>
          <w:rStyle w:val="BodyText"/>
        </w:rPr>
        <w:t>administration de l</w:t>
      </w:r>
      <w:r>
        <w:rPr>
          <w:rStyle w:val="BodyText"/>
          <w:rFonts w:cs="Century Gothic"/>
          <w:cs/>
        </w:rPr>
        <w:t>’</w:t>
      </w:r>
      <w:r>
        <w:rPr>
          <w:rStyle w:val="BodyText"/>
        </w:rPr>
        <w:t xml:space="preserve">ICANN a adopté une </w:t>
      </w:r>
      <w:hyperlink r:id="rId11" w:anchor="annex" w:history="1">
        <w:r>
          <w:rPr>
            <w:rStyle w:val="Hyperlink"/>
          </w:rPr>
          <w:t>spécification temporaire</w:t>
        </w:r>
      </w:hyperlink>
      <w:r>
        <w:rPr>
          <w:rStyle w:val="BodyText"/>
        </w:rPr>
        <w:t xml:space="preserve"> pour les données d</w:t>
      </w:r>
      <w:r>
        <w:rPr>
          <w:rStyle w:val="BodyText"/>
          <w:rFonts w:cs="Century Gothic"/>
          <w:cs/>
        </w:rPr>
        <w:t>’</w:t>
      </w:r>
      <w:r>
        <w:rPr>
          <w:rStyle w:val="BodyText"/>
        </w:rPr>
        <w:t>enregistrement (mise en place du modèle de conformité provisoire avec le RGPD) des gTLD (domaines génériques de premier niveau). Cela permet à l</w:t>
      </w:r>
      <w:r>
        <w:rPr>
          <w:rStyle w:val="BodyText"/>
          <w:rFonts w:cs="Century Gothic"/>
          <w:cs/>
        </w:rPr>
        <w:t>’</w:t>
      </w:r>
      <w:r>
        <w:rPr>
          <w:rStyle w:val="BodyText"/>
        </w:rPr>
        <w:t>ICANN, aux opérateurs de registre gTLD et aux bureaux d</w:t>
      </w:r>
      <w:r>
        <w:rPr>
          <w:rStyle w:val="BodyText"/>
          <w:rFonts w:cs="Century Gothic"/>
          <w:cs/>
        </w:rPr>
        <w:t>’</w:t>
      </w:r>
      <w:r>
        <w:rPr>
          <w:rStyle w:val="BodyText"/>
        </w:rPr>
        <w:t>enregistrement de se conformer aux exigences contractuelles et aux politiques de l</w:t>
      </w:r>
      <w:r>
        <w:rPr>
          <w:rStyle w:val="BodyText"/>
          <w:rFonts w:cs="Century Gothic"/>
          <w:cs/>
        </w:rPr>
        <w:t>’</w:t>
      </w:r>
      <w:r>
        <w:rPr>
          <w:rStyle w:val="BodyText"/>
        </w:rPr>
        <w:t>ICANN à la lumière du RGPD, notamment en ce qui concerne la collecte et la mise à disposition des données sur les titulaires de gTLD.</w:t>
      </w:r>
    </w:p>
    <w:p w14:paraId="73ECD5FA" w14:textId="77777777" w:rsidR="00833747" w:rsidRDefault="00833747" w:rsidP="00833747">
      <w:pPr>
        <w:pStyle w:val="BodyText"/>
      </w:pPr>
      <w:r>
        <w:rPr>
          <w:rStyle w:val="BodyText"/>
        </w:rPr>
        <w:t>La spécification temporaire prévoit la poursuite de la collecte des données d</w:t>
      </w:r>
      <w:r>
        <w:rPr>
          <w:rStyle w:val="BodyText"/>
          <w:rFonts w:cs="Century Gothic"/>
          <w:cs/>
        </w:rPr>
        <w:t>’</w:t>
      </w:r>
      <w:r>
        <w:rPr>
          <w:rStyle w:val="BodyText"/>
        </w:rPr>
        <w:t>enregistrement (encore largement connue comme WHOIS) mais limite l</w:t>
      </w:r>
      <w:r>
        <w:rPr>
          <w:rStyle w:val="BodyText"/>
          <w:rFonts w:cs="Century Gothic"/>
          <w:cs/>
        </w:rPr>
        <w:t>’</w:t>
      </w:r>
      <w:r>
        <w:rPr>
          <w:rStyle w:val="BodyText"/>
        </w:rPr>
        <w:t>accès aux données à caractère personnel à ceux qui font preuve d</w:t>
      </w:r>
      <w:r>
        <w:rPr>
          <w:rStyle w:val="BodyText"/>
          <w:rFonts w:cs="Century Gothic"/>
          <w:cs/>
        </w:rPr>
        <w:t>’</w:t>
      </w:r>
      <w:r>
        <w:rPr>
          <w:rStyle w:val="BodyText"/>
        </w:rPr>
        <w:t>un but légitime pour l</w:t>
      </w:r>
      <w:r>
        <w:rPr>
          <w:rStyle w:val="BodyText"/>
          <w:rFonts w:cs="Century Gothic"/>
          <w:cs/>
        </w:rPr>
        <w:t>’</w:t>
      </w:r>
      <w:r>
        <w:rPr>
          <w:rStyle w:val="BodyText"/>
        </w:rPr>
        <w:t>obtention de ces données. Cet accès limité est connu comme un système en couches ou niveaux et sera mis en œuvre par de nouvelles dispositions établies par les parties contractantes.  Ces nouveaux systèmes sont susceptibles d</w:t>
      </w:r>
      <w:r>
        <w:rPr>
          <w:rStyle w:val="BodyText"/>
          <w:rFonts w:cs="Century Gothic"/>
          <w:cs/>
        </w:rPr>
        <w:t>’</w:t>
      </w:r>
      <w:r>
        <w:rPr>
          <w:rStyle w:val="BodyText"/>
        </w:rPr>
        <w:t>inclure un système d</w:t>
      </w:r>
      <w:r>
        <w:rPr>
          <w:rStyle w:val="BodyText"/>
          <w:rFonts w:cs="Century Gothic"/>
          <w:cs/>
        </w:rPr>
        <w:t>’</w:t>
      </w:r>
      <w:r>
        <w:rPr>
          <w:rStyle w:val="BodyText"/>
        </w:rPr>
        <w:t>accréditation et d</w:t>
      </w:r>
      <w:r>
        <w:rPr>
          <w:rStyle w:val="BodyText"/>
          <w:rFonts w:cs="Century Gothic"/>
          <w:cs/>
        </w:rPr>
        <w:t>’</w:t>
      </w:r>
      <w:r>
        <w:rPr>
          <w:rStyle w:val="BodyText"/>
        </w:rPr>
        <w:t>identifiants des utilisateurs ayant un but légitime.</w:t>
      </w:r>
    </w:p>
    <w:p w14:paraId="5FD9CE6E" w14:textId="77777777" w:rsidR="00833747" w:rsidRDefault="00833747" w:rsidP="00833747">
      <w:pPr>
        <w:pStyle w:val="BodyText"/>
      </w:pPr>
      <w:r>
        <w:rPr>
          <w:rStyle w:val="BodyText"/>
        </w:rPr>
        <w:t>Le GAC, appuyé par son Groupe de travail sur la sécurité publique, a fait valoir des motifs d</w:t>
      </w:r>
      <w:r>
        <w:rPr>
          <w:rStyle w:val="BodyText"/>
          <w:rFonts w:cs="Century Gothic"/>
          <w:cs/>
        </w:rPr>
        <w:t>’</w:t>
      </w:r>
      <w:r>
        <w:rPr>
          <w:rStyle w:val="BodyText"/>
        </w:rPr>
        <w:t>ordre public pour l</w:t>
      </w:r>
      <w:r>
        <w:rPr>
          <w:rStyle w:val="BodyText"/>
          <w:rFonts w:cs="Century Gothic"/>
          <w:cs/>
        </w:rPr>
        <w:t>’</w:t>
      </w:r>
      <w:r>
        <w:rPr>
          <w:rStyle w:val="BodyText"/>
        </w:rPr>
        <w:t>accès continu aux données WHOIS à des fins légitimes par les organismes d</w:t>
      </w:r>
      <w:r>
        <w:rPr>
          <w:rStyle w:val="BodyText"/>
          <w:rFonts w:cs="Century Gothic"/>
          <w:cs/>
        </w:rPr>
        <w:t>’</w:t>
      </w:r>
      <w:r>
        <w:rPr>
          <w:rStyle w:val="BodyText"/>
        </w:rPr>
        <w:t>application de la loi, les consommateurs et d</w:t>
      </w:r>
      <w:r>
        <w:rPr>
          <w:rStyle w:val="BodyText"/>
          <w:rFonts w:cs="Century Gothic"/>
          <w:cs/>
        </w:rPr>
        <w:t>’</w:t>
      </w:r>
      <w:r>
        <w:rPr>
          <w:rStyle w:val="BodyText"/>
        </w:rPr>
        <w:t>autres. Ceci a inclus des avis au Conseil d</w:t>
      </w:r>
      <w:r>
        <w:rPr>
          <w:rStyle w:val="BodyText"/>
          <w:rFonts w:cs="Century Gothic"/>
          <w:cs/>
        </w:rPr>
        <w:t>’</w:t>
      </w:r>
      <w:r>
        <w:rPr>
          <w:rStyle w:val="BodyText"/>
        </w:rPr>
        <w:t>administration de l</w:t>
      </w:r>
      <w:r>
        <w:rPr>
          <w:rStyle w:val="BodyText"/>
          <w:rFonts w:cs="Century Gothic"/>
          <w:cs/>
        </w:rPr>
        <w:t>’</w:t>
      </w:r>
      <w:r>
        <w:rPr>
          <w:rStyle w:val="BodyText"/>
        </w:rPr>
        <w:t>ICANN, et l</w:t>
      </w:r>
      <w:r>
        <w:rPr>
          <w:rStyle w:val="BodyText"/>
          <w:rFonts w:cs="Century Gothic"/>
          <w:cs/>
        </w:rPr>
        <w:t>’</w:t>
      </w:r>
      <w:r>
        <w:rPr>
          <w:rStyle w:val="BodyText"/>
        </w:rPr>
        <w:t xml:space="preserve">engagement dans plusieurs processus communautaires, y compris les consultations publiques.  </w:t>
      </w:r>
    </w:p>
    <w:p w14:paraId="41D1407B" w14:textId="77777777" w:rsidR="00833747" w:rsidRDefault="00833747" w:rsidP="00833747">
      <w:pPr>
        <w:pStyle w:val="BodyText"/>
      </w:pPr>
      <w:r>
        <w:rPr>
          <w:rStyle w:val="BodyText"/>
        </w:rPr>
        <w:t>La spécification temporaire est applicable pendant tout au plus 12 mois à partir du 25 mai 2018. Au cours de cette période :</w:t>
      </w:r>
    </w:p>
    <w:p w14:paraId="13A38574" w14:textId="77777777" w:rsidR="00833747" w:rsidRDefault="00410E7B" w:rsidP="00833747">
      <w:pPr>
        <w:pStyle w:val="BodyText"/>
        <w:numPr>
          <w:ilvl w:val="0"/>
          <w:numId w:val="28"/>
        </w:numPr>
      </w:pPr>
      <w:r>
        <w:rPr>
          <w:rStyle w:val="BodyText"/>
        </w:rPr>
        <w:t>Le</w:t>
      </w:r>
      <w:r w:rsidR="00833747">
        <w:rPr>
          <w:rStyle w:val="BodyText"/>
        </w:rPr>
        <w:t xml:space="preserve"> Conseil renouvellera la spécification tous les 90 jours, et peut faire des ajustements en fonction, entre autres choses, de l</w:t>
      </w:r>
      <w:r w:rsidR="00833747">
        <w:rPr>
          <w:rStyle w:val="BodyText"/>
          <w:rFonts w:cs="Century Gothic"/>
          <w:cs/>
        </w:rPr>
        <w:t>’</w:t>
      </w:r>
      <w:r w:rsidR="00833747">
        <w:rPr>
          <w:rStyle w:val="BodyText"/>
        </w:rPr>
        <w:t>avis du GAC.</w:t>
      </w:r>
    </w:p>
    <w:p w14:paraId="034373A8" w14:textId="77777777" w:rsidR="00833747" w:rsidRPr="00D35147" w:rsidRDefault="00833747" w:rsidP="00833747">
      <w:pPr>
        <w:pStyle w:val="BodyText"/>
        <w:numPr>
          <w:ilvl w:val="0"/>
          <w:numId w:val="28"/>
        </w:numPr>
      </w:pPr>
      <w:r>
        <w:rPr>
          <w:rStyle w:val="BodyText"/>
        </w:rPr>
        <w:t xml:space="preserve">Un </w:t>
      </w:r>
      <w:hyperlink r:id="rId12" w:history="1">
        <w:r>
          <w:rPr>
            <w:rStyle w:val="Hyperlink"/>
          </w:rPr>
          <w:t>Processus accéléré d’élaboration de politiques</w:t>
        </w:r>
      </w:hyperlink>
      <w:r>
        <w:rPr>
          <w:rStyle w:val="BodyText"/>
        </w:rPr>
        <w:t xml:space="preserve"> (EPDP) de la GNSO est une option envisagée par le conseil de la GNSO pour faire des recommandations sur les politiques qui devraient s</w:t>
      </w:r>
      <w:r>
        <w:rPr>
          <w:rStyle w:val="BodyText"/>
          <w:rFonts w:cs="Century Gothic"/>
          <w:cs/>
        </w:rPr>
        <w:t>’</w:t>
      </w:r>
      <w:r>
        <w:rPr>
          <w:rStyle w:val="BodyText"/>
        </w:rPr>
        <w:t>appliquer à des aspects couverts par la spécification. Les détails, y compris la façon dont d</w:t>
      </w:r>
      <w:r>
        <w:rPr>
          <w:rStyle w:val="BodyText"/>
          <w:rFonts w:cs="Century Gothic"/>
          <w:cs/>
        </w:rPr>
        <w:t>’</w:t>
      </w:r>
      <w:r>
        <w:rPr>
          <w:rStyle w:val="BodyText"/>
        </w:rPr>
        <w:t>autres SO et AC pourraient participer, n</w:t>
      </w:r>
      <w:r>
        <w:rPr>
          <w:rStyle w:val="BodyText"/>
          <w:rFonts w:cs="Century Gothic"/>
          <w:cs/>
        </w:rPr>
        <w:t>’</w:t>
      </w:r>
      <w:r>
        <w:rPr>
          <w:rStyle w:val="BodyText"/>
        </w:rPr>
        <w:t>ont pas encore été finalisés par le conseil de la GNSO.</w:t>
      </w:r>
    </w:p>
    <w:p w14:paraId="4DB8B691" w14:textId="77777777" w:rsidR="00833747" w:rsidRDefault="00833747" w:rsidP="00833747">
      <w:pPr>
        <w:pStyle w:val="BodyText"/>
      </w:pPr>
      <w:r>
        <w:rPr>
          <w:rStyle w:val="BodyText"/>
        </w:rPr>
        <w:t>La spécification inclut certaines parties de l</w:t>
      </w:r>
      <w:r>
        <w:rPr>
          <w:rStyle w:val="BodyText"/>
          <w:rFonts w:cs="Century Gothic"/>
          <w:cs/>
        </w:rPr>
        <w:t>’</w:t>
      </w:r>
      <w:r>
        <w:rPr>
          <w:rStyle w:val="BodyText"/>
        </w:rPr>
        <w:t>avis du GAC contenues dans le communiqué de San Juan et remet à plus tard une réponse sur quatre éléments en attendant d</w:t>
      </w:r>
      <w:r>
        <w:rPr>
          <w:rStyle w:val="BodyText"/>
          <w:rFonts w:cs="Century Gothic"/>
          <w:cs/>
        </w:rPr>
        <w:t>’</w:t>
      </w:r>
      <w:r>
        <w:rPr>
          <w:rStyle w:val="BodyText"/>
        </w:rPr>
        <w:t>autres discussions entre le Conseil et le GAC (voir ci-dessus). Elle comprend certaines questions qui ne sont pas terminées, bien qu</w:t>
      </w:r>
      <w:r>
        <w:rPr>
          <w:rStyle w:val="BodyText"/>
          <w:rFonts w:cs="Century Gothic"/>
          <w:cs/>
        </w:rPr>
        <w:t>’</w:t>
      </w:r>
      <w:r>
        <w:rPr>
          <w:rStyle w:val="BodyText"/>
        </w:rPr>
        <w:t xml:space="preserve">il ne soit pas encore clair si elles pourraient y être intégrées au cours des 12 mois suivants </w:t>
      </w:r>
      <w:r>
        <w:rPr>
          <w:rStyle w:val="BodyText"/>
        </w:rPr>
        <w:lastRenderedPageBreak/>
        <w:t>ou si elle</w:t>
      </w:r>
      <w:r w:rsidR="00410E7B">
        <w:rPr>
          <w:rStyle w:val="BodyText"/>
        </w:rPr>
        <w:t>s</w:t>
      </w:r>
      <w:r>
        <w:rPr>
          <w:rStyle w:val="BodyText"/>
        </w:rPr>
        <w:t xml:space="preserve"> devr</w:t>
      </w:r>
      <w:r w:rsidR="00410E7B">
        <w:rPr>
          <w:rStyle w:val="BodyText"/>
        </w:rPr>
        <w:t>aie</w:t>
      </w:r>
      <w:r>
        <w:rPr>
          <w:rStyle w:val="BodyText"/>
        </w:rPr>
        <w:t>nt faire l</w:t>
      </w:r>
      <w:r>
        <w:rPr>
          <w:rStyle w:val="BodyText"/>
          <w:rFonts w:cs="Century Gothic"/>
          <w:cs/>
        </w:rPr>
        <w:t>’</w:t>
      </w:r>
      <w:r>
        <w:rPr>
          <w:rStyle w:val="BodyText"/>
        </w:rPr>
        <w:t>objet d</w:t>
      </w:r>
      <w:r>
        <w:rPr>
          <w:rStyle w:val="BodyText"/>
          <w:rFonts w:cs="Century Gothic"/>
          <w:cs/>
        </w:rPr>
        <w:t>’</w:t>
      </w:r>
      <w:r>
        <w:rPr>
          <w:rStyle w:val="BodyText"/>
        </w:rPr>
        <w:t>un EPDP pour qu</w:t>
      </w:r>
      <w:r>
        <w:rPr>
          <w:rStyle w:val="BodyText"/>
          <w:rFonts w:cs="Century Gothic"/>
          <w:cs/>
        </w:rPr>
        <w:t>’</w:t>
      </w:r>
      <w:r>
        <w:rPr>
          <w:rStyle w:val="BodyText"/>
        </w:rPr>
        <w:t xml:space="preserve">il parvienne à une résolution. Ces questions sont : </w:t>
      </w:r>
    </w:p>
    <w:p w14:paraId="4240BDE8" w14:textId="77777777" w:rsidR="00833747" w:rsidRPr="00AB2562" w:rsidRDefault="00833747" w:rsidP="00833747">
      <w:pPr>
        <w:numPr>
          <w:ilvl w:val="0"/>
          <w:numId w:val="23"/>
        </w:numPr>
        <w:shd w:val="clear" w:color="auto" w:fill="FFFFFF"/>
        <w:spacing w:after="225"/>
        <w:ind w:left="1020"/>
        <w:rPr>
          <w:rFonts w:ascii="Century Gothic" w:hAnsi="Century Gothic"/>
          <w:color w:val="333333"/>
          <w:sz w:val="20"/>
          <w:szCs w:val="20"/>
        </w:rPr>
      </w:pPr>
      <w:r>
        <w:rPr>
          <w:rStyle w:val="Normal"/>
          <w:rFonts w:ascii="Century Gothic" w:hAnsi="Century Gothic"/>
          <w:color w:val="333333"/>
          <w:sz w:val="20"/>
        </w:rPr>
        <w:t>Conformément à l</w:t>
      </w:r>
      <w:r>
        <w:rPr>
          <w:rStyle w:val="Normal"/>
          <w:rFonts w:ascii="Century Gothic" w:hAnsi="Century Gothic" w:cs="Century Gothic"/>
          <w:color w:val="333333"/>
          <w:sz w:val="20"/>
          <w:cs/>
        </w:rPr>
        <w:t>’</w:t>
      </w:r>
      <w:r>
        <w:rPr>
          <w:rStyle w:val="Normal"/>
          <w:rFonts w:ascii="Century Gothic" w:hAnsi="Century Gothic"/>
          <w:color w:val="333333"/>
          <w:sz w:val="20"/>
        </w:rPr>
        <w:t>article 4.4, le travail continu de la communauté pour élaborer un modèle d</w:t>
      </w:r>
      <w:r>
        <w:rPr>
          <w:rStyle w:val="Normal"/>
          <w:rFonts w:ascii="Century Gothic" w:hAnsi="Century Gothic" w:cs="Century Gothic"/>
          <w:color w:val="333333"/>
          <w:sz w:val="20"/>
          <w:cs/>
        </w:rPr>
        <w:t>’</w:t>
      </w:r>
      <w:r>
        <w:rPr>
          <w:rStyle w:val="Normal"/>
          <w:rFonts w:ascii="Century Gothic" w:hAnsi="Century Gothic"/>
          <w:color w:val="333333"/>
          <w:sz w:val="20"/>
        </w:rPr>
        <w:t>accréditation et d</w:t>
      </w:r>
      <w:r>
        <w:rPr>
          <w:rStyle w:val="Normal"/>
          <w:rFonts w:ascii="Century Gothic" w:hAnsi="Century Gothic" w:cs="Century Gothic"/>
          <w:color w:val="333333"/>
          <w:sz w:val="20"/>
          <w:cs/>
        </w:rPr>
        <w:t>’</w:t>
      </w:r>
      <w:r>
        <w:rPr>
          <w:rStyle w:val="Normal"/>
          <w:rFonts w:ascii="Century Gothic" w:hAnsi="Century Gothic"/>
          <w:color w:val="333333"/>
          <w:sz w:val="20"/>
        </w:rPr>
        <w:t>accès qui respecte le RGPD, tout en reconnaissant la nécessité d</w:t>
      </w:r>
      <w:r>
        <w:rPr>
          <w:rStyle w:val="Normal"/>
          <w:rFonts w:ascii="Century Gothic" w:hAnsi="Century Gothic" w:cs="Century Gothic"/>
          <w:color w:val="333333"/>
          <w:sz w:val="20"/>
          <w:cs/>
        </w:rPr>
        <w:t>’</w:t>
      </w:r>
      <w:r>
        <w:rPr>
          <w:rStyle w:val="Normal"/>
          <w:rFonts w:ascii="Century Gothic" w:hAnsi="Century Gothic"/>
          <w:color w:val="333333"/>
          <w:sz w:val="20"/>
        </w:rPr>
        <w:t>obtenir des conseils supplémentaires du groupe de travail « Article 29</w:t>
      </w:r>
      <w:r w:rsidR="00410E7B">
        <w:rPr>
          <w:rStyle w:val="Normal"/>
          <w:rFonts w:ascii="Century Gothic" w:hAnsi="Century Gothic"/>
          <w:color w:val="333333"/>
          <w:sz w:val="20"/>
        </w:rPr>
        <w:t> » /</w:t>
      </w:r>
      <w:r>
        <w:rPr>
          <w:rStyle w:val="Normal"/>
          <w:rFonts w:ascii="Century Gothic" w:hAnsi="Century Gothic"/>
          <w:color w:val="333333"/>
          <w:sz w:val="20"/>
        </w:rPr>
        <w:t>Comité européen de la protection des données.</w:t>
      </w:r>
    </w:p>
    <w:p w14:paraId="48C246F8" w14:textId="77777777" w:rsidR="00833747" w:rsidRPr="00AB2562" w:rsidRDefault="00833747" w:rsidP="00833747">
      <w:pPr>
        <w:numPr>
          <w:ilvl w:val="0"/>
          <w:numId w:val="23"/>
        </w:numPr>
        <w:shd w:val="clear" w:color="auto" w:fill="FFFFFF"/>
        <w:spacing w:after="225"/>
        <w:ind w:left="1020"/>
        <w:rPr>
          <w:rFonts w:ascii="Century Gothic" w:hAnsi="Century Gothic"/>
          <w:color w:val="333333"/>
          <w:sz w:val="20"/>
          <w:szCs w:val="20"/>
        </w:rPr>
      </w:pPr>
      <w:r>
        <w:rPr>
          <w:rStyle w:val="Normal"/>
          <w:rFonts w:ascii="Century Gothic" w:hAnsi="Century Gothic"/>
          <w:color w:val="333333"/>
          <w:sz w:val="20"/>
        </w:rPr>
        <w:t>Aborder la faisabilité d</w:t>
      </w:r>
      <w:r>
        <w:rPr>
          <w:rStyle w:val="Normal"/>
          <w:rFonts w:ascii="Century Gothic" w:hAnsi="Century Gothic" w:cs="Century Gothic"/>
          <w:color w:val="333333"/>
          <w:sz w:val="20"/>
          <w:cs/>
        </w:rPr>
        <w:t>’</w:t>
      </w:r>
      <w:r>
        <w:rPr>
          <w:rStyle w:val="Normal"/>
          <w:rFonts w:ascii="Century Gothic" w:hAnsi="Century Gothic"/>
          <w:color w:val="333333"/>
          <w:sz w:val="20"/>
        </w:rPr>
        <w:t>exiger des contacts uniques pour avoir une adresse e-mail anonyme uniforme à travers les enregistrements de noms de domaine à un bureau d</w:t>
      </w:r>
      <w:r>
        <w:rPr>
          <w:rStyle w:val="Normal"/>
          <w:rFonts w:ascii="Century Gothic" w:hAnsi="Century Gothic" w:cs="Century Gothic"/>
          <w:color w:val="333333"/>
          <w:sz w:val="20"/>
          <w:cs/>
        </w:rPr>
        <w:t>’</w:t>
      </w:r>
      <w:r>
        <w:rPr>
          <w:rStyle w:val="Normal"/>
          <w:rFonts w:ascii="Century Gothic" w:hAnsi="Century Gothic"/>
          <w:color w:val="333333"/>
          <w:sz w:val="20"/>
        </w:rPr>
        <w:t>enregistrement donné, tout en assurant la sécurité, la stabilité et le respect des exigences de l</w:t>
      </w:r>
      <w:r>
        <w:rPr>
          <w:rStyle w:val="Normal"/>
          <w:rFonts w:ascii="Century Gothic" w:hAnsi="Century Gothic" w:cs="Century Gothic"/>
          <w:color w:val="333333"/>
          <w:sz w:val="20"/>
          <w:cs/>
        </w:rPr>
        <w:t>’</w:t>
      </w:r>
      <w:r>
        <w:rPr>
          <w:rStyle w:val="Normal"/>
          <w:rFonts w:ascii="Century Gothic" w:hAnsi="Century Gothic"/>
          <w:color w:val="333333"/>
          <w:sz w:val="20"/>
        </w:rPr>
        <w:t>article 2.5.1 de l</w:t>
      </w:r>
      <w:r>
        <w:rPr>
          <w:rStyle w:val="Normal"/>
          <w:rFonts w:ascii="Century Gothic" w:hAnsi="Century Gothic" w:cs="Century Gothic"/>
          <w:color w:val="333333"/>
          <w:sz w:val="20"/>
          <w:cs/>
        </w:rPr>
        <w:t>’</w:t>
      </w:r>
      <w:r>
        <w:rPr>
          <w:rStyle w:val="Normal"/>
          <w:rFonts w:ascii="Century Gothic" w:hAnsi="Century Gothic"/>
          <w:color w:val="333333"/>
          <w:sz w:val="20"/>
        </w:rPr>
        <w:t>annexe A.</w:t>
      </w:r>
    </w:p>
    <w:p w14:paraId="60298231" w14:textId="77777777" w:rsidR="00833747" w:rsidRPr="00AB2562" w:rsidRDefault="00833747" w:rsidP="00833747">
      <w:pPr>
        <w:numPr>
          <w:ilvl w:val="0"/>
          <w:numId w:val="23"/>
        </w:numPr>
        <w:shd w:val="clear" w:color="auto" w:fill="FFFFFF"/>
        <w:spacing w:after="225"/>
        <w:ind w:left="1020"/>
        <w:rPr>
          <w:rFonts w:ascii="Century Gothic" w:hAnsi="Century Gothic"/>
          <w:color w:val="333333"/>
          <w:sz w:val="20"/>
          <w:szCs w:val="20"/>
        </w:rPr>
      </w:pPr>
      <w:r>
        <w:rPr>
          <w:rStyle w:val="Normal"/>
          <w:rFonts w:ascii="Century Gothic" w:hAnsi="Century Gothic"/>
          <w:color w:val="333333"/>
          <w:sz w:val="20"/>
        </w:rPr>
        <w:t>Élaborer des méthodes pour fournir aux plaignants potentiels utilisant l</w:t>
      </w:r>
      <w:r>
        <w:rPr>
          <w:rStyle w:val="Normal"/>
          <w:rFonts w:ascii="Century Gothic" w:hAnsi="Century Gothic" w:cs="Century Gothic"/>
          <w:color w:val="333333"/>
          <w:sz w:val="20"/>
          <w:cs/>
        </w:rPr>
        <w:t>’</w:t>
      </w:r>
      <w:r>
        <w:rPr>
          <w:rStyle w:val="Normal"/>
          <w:rFonts w:ascii="Century Gothic" w:hAnsi="Century Gothic"/>
          <w:color w:val="333333"/>
          <w:sz w:val="20"/>
        </w:rPr>
        <w:t>URS et l</w:t>
      </w:r>
      <w:r>
        <w:rPr>
          <w:rStyle w:val="Normal"/>
          <w:rFonts w:ascii="Century Gothic" w:hAnsi="Century Gothic" w:cs="Century Gothic"/>
          <w:color w:val="333333"/>
          <w:sz w:val="20"/>
          <w:cs/>
        </w:rPr>
        <w:t>’</w:t>
      </w:r>
      <w:r>
        <w:rPr>
          <w:rStyle w:val="Normal"/>
          <w:rFonts w:ascii="Century Gothic" w:hAnsi="Century Gothic"/>
          <w:color w:val="333333"/>
          <w:sz w:val="20"/>
        </w:rPr>
        <w:t>UDRP un accès suffisant aux données d</w:t>
      </w:r>
      <w:r>
        <w:rPr>
          <w:rStyle w:val="Normal"/>
          <w:rFonts w:ascii="Century Gothic" w:hAnsi="Century Gothic" w:cs="Century Gothic"/>
          <w:color w:val="333333"/>
          <w:sz w:val="20"/>
          <w:cs/>
        </w:rPr>
        <w:t>’</w:t>
      </w:r>
      <w:r>
        <w:rPr>
          <w:rStyle w:val="Normal"/>
          <w:rFonts w:ascii="Century Gothic" w:hAnsi="Century Gothic"/>
          <w:color w:val="333333"/>
          <w:sz w:val="20"/>
        </w:rPr>
        <w:t>enregistrement à l</w:t>
      </w:r>
      <w:r>
        <w:rPr>
          <w:rStyle w:val="Normal"/>
          <w:rFonts w:ascii="Century Gothic" w:hAnsi="Century Gothic" w:cs="Century Gothic"/>
          <w:color w:val="333333"/>
          <w:sz w:val="20"/>
          <w:cs/>
        </w:rPr>
        <w:t>’</w:t>
      </w:r>
      <w:r>
        <w:rPr>
          <w:rStyle w:val="Normal"/>
          <w:rFonts w:ascii="Century Gothic" w:hAnsi="Century Gothic"/>
          <w:color w:val="333333"/>
          <w:sz w:val="20"/>
        </w:rPr>
        <w:t>appui des dépôts de plaintes de bonne foi.</w:t>
      </w:r>
    </w:p>
    <w:p w14:paraId="3374736F" w14:textId="77777777" w:rsidR="00833747" w:rsidRPr="00AB2562" w:rsidRDefault="00833747" w:rsidP="00833747">
      <w:pPr>
        <w:numPr>
          <w:ilvl w:val="0"/>
          <w:numId w:val="23"/>
        </w:numPr>
        <w:shd w:val="clear" w:color="auto" w:fill="FFFFFF"/>
        <w:spacing w:after="225"/>
        <w:ind w:left="1020"/>
        <w:rPr>
          <w:rFonts w:ascii="Century Gothic" w:hAnsi="Century Gothic"/>
          <w:color w:val="333333"/>
          <w:sz w:val="20"/>
          <w:szCs w:val="20"/>
        </w:rPr>
      </w:pPr>
      <w:r>
        <w:rPr>
          <w:rStyle w:val="Normal"/>
          <w:rFonts w:ascii="Century Gothic" w:hAnsi="Century Gothic"/>
          <w:color w:val="333333"/>
          <w:sz w:val="20"/>
        </w:rPr>
        <w:t>Élaborer un processus cohérent permettant d</w:t>
      </w:r>
      <w:r>
        <w:rPr>
          <w:rStyle w:val="Normal"/>
          <w:rFonts w:ascii="Century Gothic" w:hAnsi="Century Gothic" w:cs="Century Gothic"/>
          <w:color w:val="333333"/>
          <w:sz w:val="20"/>
          <w:cs/>
        </w:rPr>
        <w:t>’</w:t>
      </w:r>
      <w:r>
        <w:rPr>
          <w:rStyle w:val="Normal"/>
          <w:rFonts w:ascii="Century Gothic" w:hAnsi="Century Gothic"/>
          <w:color w:val="333333"/>
          <w:sz w:val="20"/>
        </w:rPr>
        <w:t>assurer l</w:t>
      </w:r>
      <w:r>
        <w:rPr>
          <w:rStyle w:val="Normal"/>
          <w:rFonts w:ascii="Century Gothic" w:hAnsi="Century Gothic" w:cs="Century Gothic"/>
          <w:color w:val="333333"/>
          <w:sz w:val="20"/>
          <w:cs/>
        </w:rPr>
        <w:t>’</w:t>
      </w:r>
      <w:r>
        <w:rPr>
          <w:rStyle w:val="Normal"/>
          <w:rFonts w:ascii="Century Gothic" w:hAnsi="Century Gothic"/>
          <w:color w:val="333333"/>
          <w:sz w:val="20"/>
        </w:rPr>
        <w:t>accès continu aux données d</w:t>
      </w:r>
      <w:r>
        <w:rPr>
          <w:rStyle w:val="Normal"/>
          <w:rFonts w:ascii="Century Gothic" w:hAnsi="Century Gothic" w:cs="Century Gothic"/>
          <w:color w:val="333333"/>
          <w:sz w:val="20"/>
          <w:cs/>
        </w:rPr>
        <w:t>’</w:t>
      </w:r>
      <w:r>
        <w:rPr>
          <w:rStyle w:val="Normal"/>
          <w:rFonts w:ascii="Century Gothic" w:hAnsi="Century Gothic"/>
          <w:color w:val="333333"/>
          <w:sz w:val="20"/>
        </w:rPr>
        <w:t>enregistrement, y compris les données non publiques, aux utilisateurs ayant un but légitime, jusqu</w:t>
      </w:r>
      <w:r>
        <w:rPr>
          <w:rStyle w:val="Normal"/>
          <w:rFonts w:ascii="Century Gothic" w:hAnsi="Century Gothic" w:cs="Century Gothic"/>
          <w:color w:val="333333"/>
          <w:sz w:val="20"/>
          <w:cs/>
        </w:rPr>
        <w:t>’</w:t>
      </w:r>
      <w:r>
        <w:rPr>
          <w:rStyle w:val="Normal"/>
          <w:rFonts w:ascii="Century Gothic" w:hAnsi="Century Gothic"/>
          <w:color w:val="333333"/>
          <w:sz w:val="20"/>
        </w:rPr>
        <w:t>au moment où un mécanisme final d</w:t>
      </w:r>
      <w:r>
        <w:rPr>
          <w:rStyle w:val="Normal"/>
          <w:rFonts w:ascii="Century Gothic" w:hAnsi="Century Gothic" w:cs="Century Gothic"/>
          <w:color w:val="333333"/>
          <w:sz w:val="20"/>
          <w:cs/>
        </w:rPr>
        <w:t>’</w:t>
      </w:r>
      <w:r>
        <w:rPr>
          <w:rStyle w:val="Normal"/>
          <w:rFonts w:ascii="Century Gothic" w:hAnsi="Century Gothic"/>
          <w:color w:val="333333"/>
          <w:sz w:val="20"/>
        </w:rPr>
        <w:t>accréditation et d</w:t>
      </w:r>
      <w:r>
        <w:rPr>
          <w:rStyle w:val="Normal"/>
          <w:rFonts w:ascii="Century Gothic" w:hAnsi="Century Gothic" w:cs="Century Gothic"/>
          <w:color w:val="333333"/>
          <w:sz w:val="20"/>
          <w:cs/>
        </w:rPr>
        <w:t>’</w:t>
      </w:r>
      <w:r>
        <w:rPr>
          <w:rStyle w:val="Normal"/>
          <w:rFonts w:ascii="Century Gothic" w:hAnsi="Century Gothic"/>
          <w:color w:val="333333"/>
          <w:sz w:val="20"/>
        </w:rPr>
        <w:t>accès soit pleinement opérationnel et que cela soit obligatoire pour toutes les parties contractantes.</w:t>
      </w:r>
    </w:p>
    <w:p w14:paraId="157D36CE" w14:textId="77777777" w:rsidR="00833747" w:rsidRPr="00AB2562" w:rsidRDefault="00833747" w:rsidP="00833747">
      <w:pPr>
        <w:numPr>
          <w:ilvl w:val="0"/>
          <w:numId w:val="23"/>
        </w:numPr>
        <w:shd w:val="clear" w:color="auto" w:fill="FFFFFF"/>
        <w:spacing w:after="225"/>
        <w:ind w:left="1020"/>
        <w:rPr>
          <w:rFonts w:ascii="Century Gothic" w:hAnsi="Century Gothic"/>
          <w:color w:val="333333"/>
          <w:sz w:val="20"/>
          <w:szCs w:val="20"/>
        </w:rPr>
      </w:pPr>
      <w:r>
        <w:rPr>
          <w:rStyle w:val="Normal"/>
          <w:rFonts w:ascii="Century Gothic" w:hAnsi="Century Gothic"/>
          <w:color w:val="333333"/>
          <w:sz w:val="20"/>
        </w:rPr>
        <w:t>Faire la distinction entre personnes morales et physiques pour permettre aux personnes morales l</w:t>
      </w:r>
      <w:r>
        <w:rPr>
          <w:rStyle w:val="Normal"/>
          <w:rFonts w:ascii="Century Gothic" w:hAnsi="Century Gothic" w:cs="Century Gothic"/>
          <w:color w:val="333333"/>
          <w:sz w:val="20"/>
          <w:cs/>
        </w:rPr>
        <w:t>’</w:t>
      </w:r>
      <w:r>
        <w:rPr>
          <w:rStyle w:val="Normal"/>
          <w:rFonts w:ascii="Century Gothic" w:hAnsi="Century Gothic"/>
          <w:color w:val="333333"/>
          <w:sz w:val="20"/>
        </w:rPr>
        <w:t>accès public aux données d</w:t>
      </w:r>
      <w:r>
        <w:rPr>
          <w:rStyle w:val="Normal"/>
          <w:rFonts w:ascii="Century Gothic" w:hAnsi="Century Gothic" w:cs="Century Gothic"/>
          <w:color w:val="333333"/>
          <w:sz w:val="20"/>
          <w:cs/>
        </w:rPr>
        <w:t>’</w:t>
      </w:r>
      <w:r>
        <w:rPr>
          <w:rStyle w:val="Normal"/>
          <w:rFonts w:ascii="Century Gothic" w:hAnsi="Century Gothic"/>
          <w:color w:val="333333"/>
          <w:sz w:val="20"/>
        </w:rPr>
        <w:t>enregistrement n</w:t>
      </w:r>
      <w:r>
        <w:rPr>
          <w:rStyle w:val="Normal"/>
          <w:rFonts w:ascii="Century Gothic" w:hAnsi="Century Gothic" w:cs="Century Gothic"/>
          <w:color w:val="333333"/>
          <w:sz w:val="20"/>
          <w:cs/>
        </w:rPr>
        <w:t>’</w:t>
      </w:r>
      <w:r>
        <w:rPr>
          <w:rStyle w:val="Normal"/>
          <w:rFonts w:ascii="Century Gothic" w:hAnsi="Century Gothic"/>
          <w:color w:val="333333"/>
          <w:sz w:val="20"/>
        </w:rPr>
        <w:t>étant pas dans les attributions du RGPD.</w:t>
      </w:r>
    </w:p>
    <w:p w14:paraId="7FAC2944" w14:textId="77777777" w:rsidR="00833747" w:rsidRPr="00AB2562" w:rsidRDefault="00833747" w:rsidP="00833747">
      <w:pPr>
        <w:numPr>
          <w:ilvl w:val="0"/>
          <w:numId w:val="23"/>
        </w:numPr>
        <w:shd w:val="clear" w:color="auto" w:fill="FFFFFF"/>
        <w:spacing w:after="225"/>
        <w:ind w:left="1020"/>
        <w:rPr>
          <w:rFonts w:ascii="Century Gothic" w:hAnsi="Century Gothic"/>
          <w:color w:val="333333"/>
          <w:sz w:val="20"/>
          <w:szCs w:val="20"/>
        </w:rPr>
      </w:pPr>
      <w:r>
        <w:rPr>
          <w:rStyle w:val="Normal"/>
          <w:rFonts w:ascii="Century Gothic" w:hAnsi="Century Gothic"/>
          <w:color w:val="333333"/>
          <w:sz w:val="20"/>
        </w:rPr>
        <w:t>Assurer que les limitations en termes de volume de requêtes envisagées dans le cadre d</w:t>
      </w:r>
      <w:r>
        <w:rPr>
          <w:rStyle w:val="Normal"/>
          <w:rFonts w:ascii="Century Gothic" w:hAnsi="Century Gothic" w:cs="Century Gothic"/>
          <w:color w:val="333333"/>
          <w:sz w:val="20"/>
          <w:cs/>
        </w:rPr>
        <w:t>’</w:t>
      </w:r>
      <w:r>
        <w:rPr>
          <w:rStyle w:val="Normal"/>
          <w:rFonts w:ascii="Century Gothic" w:hAnsi="Century Gothic"/>
          <w:color w:val="333333"/>
          <w:sz w:val="20"/>
        </w:rPr>
        <w:t>un programme d</w:t>
      </w:r>
      <w:r>
        <w:rPr>
          <w:rStyle w:val="Normal"/>
          <w:rFonts w:ascii="Century Gothic" w:hAnsi="Century Gothic" w:cs="Century Gothic"/>
          <w:color w:val="333333"/>
          <w:sz w:val="20"/>
          <w:cs/>
        </w:rPr>
        <w:t>’</w:t>
      </w:r>
      <w:r>
        <w:rPr>
          <w:rStyle w:val="Normal"/>
          <w:rFonts w:ascii="Century Gothic" w:hAnsi="Century Gothic"/>
          <w:color w:val="333333"/>
          <w:sz w:val="20"/>
        </w:rPr>
        <w:t>accréditation soient en équilibre avec les besoins réels de référence croisée.</w:t>
      </w:r>
    </w:p>
    <w:p w14:paraId="0AB80AE5" w14:textId="77777777" w:rsidR="00833747" w:rsidRPr="00241C6F" w:rsidRDefault="00833747" w:rsidP="00833747">
      <w:pPr>
        <w:numPr>
          <w:ilvl w:val="0"/>
          <w:numId w:val="23"/>
        </w:numPr>
        <w:shd w:val="clear" w:color="auto" w:fill="FFFFFF"/>
        <w:spacing w:after="225"/>
        <w:ind w:left="1020"/>
        <w:rPr>
          <w:rFonts w:ascii="Century Gothic" w:hAnsi="Century Gothic"/>
          <w:color w:val="333333"/>
          <w:sz w:val="20"/>
          <w:szCs w:val="20"/>
        </w:rPr>
      </w:pPr>
      <w:r>
        <w:rPr>
          <w:rStyle w:val="Normal"/>
          <w:rFonts w:ascii="Century Gothic" w:hAnsi="Century Gothic"/>
          <w:color w:val="333333"/>
          <w:sz w:val="20"/>
        </w:rPr>
        <w:t>La confidentialité des requêtes pour des données d</w:t>
      </w:r>
      <w:r>
        <w:rPr>
          <w:rStyle w:val="Normal"/>
          <w:rFonts w:ascii="Century Gothic" w:hAnsi="Century Gothic" w:cs="Century Gothic"/>
          <w:color w:val="333333"/>
          <w:sz w:val="20"/>
          <w:cs/>
        </w:rPr>
        <w:t>’</w:t>
      </w:r>
      <w:r>
        <w:rPr>
          <w:rStyle w:val="Normal"/>
          <w:rFonts w:ascii="Century Gothic" w:hAnsi="Century Gothic"/>
          <w:color w:val="333333"/>
          <w:sz w:val="20"/>
        </w:rPr>
        <w:t>enregistrement par les autorités d</w:t>
      </w:r>
      <w:r>
        <w:rPr>
          <w:rStyle w:val="Normal"/>
          <w:rFonts w:ascii="Century Gothic" w:hAnsi="Century Gothic" w:cs="Century Gothic"/>
          <w:color w:val="333333"/>
          <w:sz w:val="20"/>
          <w:cs/>
        </w:rPr>
        <w:t>’</w:t>
      </w:r>
      <w:r>
        <w:rPr>
          <w:rStyle w:val="Normal"/>
          <w:rFonts w:ascii="Century Gothic" w:hAnsi="Century Gothic"/>
          <w:color w:val="333333"/>
          <w:sz w:val="20"/>
        </w:rPr>
        <w:t>application de la loi.</w:t>
      </w:r>
    </w:p>
    <w:p w14:paraId="5186A9F7" w14:textId="77777777" w:rsidR="00833747" w:rsidRPr="00E42E83" w:rsidRDefault="00833747" w:rsidP="00833747">
      <w:pPr>
        <w:pStyle w:val="BodyText"/>
        <w:rPr>
          <w:b/>
        </w:rPr>
      </w:pPr>
      <w:r>
        <w:rPr>
          <w:rStyle w:val="BodyText"/>
          <w:b/>
        </w:rPr>
        <w:t>Séances pertinentes de la réunion ICANN 62</w:t>
      </w:r>
    </w:p>
    <w:p w14:paraId="36333A1B" w14:textId="77777777" w:rsidR="00833747" w:rsidRDefault="00833747" w:rsidP="00833747">
      <w:pPr>
        <w:pStyle w:val="BodyText"/>
      </w:pPr>
      <w:r>
        <w:rPr>
          <w:rStyle w:val="BodyText"/>
        </w:rPr>
        <w:t>Lundi 25 juin : Séance du GAC - Aperçu du RGPD</w:t>
      </w:r>
    </w:p>
    <w:p w14:paraId="6648DB53" w14:textId="77777777" w:rsidR="00833747" w:rsidRDefault="00833747" w:rsidP="00833747">
      <w:pPr>
        <w:pStyle w:val="BodyText"/>
      </w:pPr>
      <w:r>
        <w:rPr>
          <w:rStyle w:val="BodyText"/>
        </w:rPr>
        <w:t>Lundi 25 juin : Sujet d</w:t>
      </w:r>
      <w:r>
        <w:rPr>
          <w:rStyle w:val="BodyText"/>
          <w:rFonts w:cs="Century Gothic"/>
          <w:cs/>
        </w:rPr>
        <w:t>’</w:t>
      </w:r>
      <w:r>
        <w:rPr>
          <w:rStyle w:val="BodyText"/>
        </w:rPr>
        <w:t>actualité - Mise à jour du groupe de révision du RDS/WHOIS2</w:t>
      </w:r>
    </w:p>
    <w:p w14:paraId="1412DDDD" w14:textId="77777777" w:rsidR="00833747" w:rsidRDefault="00833747" w:rsidP="00833747">
      <w:pPr>
        <w:pStyle w:val="BodyText"/>
      </w:pPr>
      <w:r>
        <w:rPr>
          <w:rStyle w:val="BodyText"/>
        </w:rPr>
        <w:t>Mardi 26 juin : Séance du GAC - Discussion sur le RGPD (1)</w:t>
      </w:r>
    </w:p>
    <w:p w14:paraId="32D6318A" w14:textId="77777777" w:rsidR="00833747" w:rsidRDefault="00833747" w:rsidP="00833747">
      <w:pPr>
        <w:pStyle w:val="BodyText"/>
      </w:pPr>
      <w:r>
        <w:rPr>
          <w:rStyle w:val="BodyText"/>
        </w:rPr>
        <w:t>Mardi 26 juin : Séances intercommunautaires (</w:t>
      </w:r>
      <w:r>
        <w:rPr>
          <w:rStyle w:val="BodyText"/>
          <w:b/>
        </w:rPr>
        <w:t>Note</w:t>
      </w:r>
      <w:r>
        <w:rPr>
          <w:rStyle w:val="BodyText"/>
        </w:rPr>
        <w:t xml:space="preserve"> : les détails n</w:t>
      </w:r>
      <w:r>
        <w:rPr>
          <w:rStyle w:val="BodyText"/>
          <w:rFonts w:cs="Century Gothic"/>
          <w:cs/>
        </w:rPr>
        <w:t>’</w:t>
      </w:r>
      <w:r>
        <w:rPr>
          <w:rStyle w:val="BodyText"/>
        </w:rPr>
        <w:t>ont pas encore été finalisés. Les questions à traiter incluront probablement celles qui préoccupent le GAC, mais aussi d</w:t>
      </w:r>
      <w:r>
        <w:rPr>
          <w:rStyle w:val="BodyText"/>
          <w:rFonts w:cs="Century Gothic"/>
          <w:cs/>
        </w:rPr>
        <w:t>’</w:t>
      </w:r>
      <w:r>
        <w:rPr>
          <w:rStyle w:val="BodyText"/>
        </w:rPr>
        <w:t>autres questions y compris des directives pour les opérateurs de registre et les bureaux d</w:t>
      </w:r>
      <w:r>
        <w:rPr>
          <w:rStyle w:val="BodyText"/>
          <w:rFonts w:cs="Century Gothic"/>
          <w:cs/>
        </w:rPr>
        <w:t>’</w:t>
      </w:r>
      <w:r>
        <w:rPr>
          <w:rStyle w:val="BodyText"/>
        </w:rPr>
        <w:t>enregistrement sur les mesures de conformité et les coûts.)</w:t>
      </w:r>
    </w:p>
    <w:p w14:paraId="5E375532" w14:textId="77777777" w:rsidR="00833747" w:rsidRDefault="00833747" w:rsidP="00833747">
      <w:pPr>
        <w:pStyle w:val="BodyText"/>
        <w:numPr>
          <w:ilvl w:val="0"/>
          <w:numId w:val="30"/>
        </w:numPr>
      </w:pPr>
      <w:r>
        <w:rPr>
          <w:rStyle w:val="BodyText"/>
        </w:rPr>
        <w:t>Politique du RDS/WHOIS Post RGPD</w:t>
      </w:r>
    </w:p>
    <w:p w14:paraId="0BCC45BF" w14:textId="77777777" w:rsidR="00833747" w:rsidRDefault="00833747" w:rsidP="00833747">
      <w:pPr>
        <w:pStyle w:val="BodyText"/>
        <w:numPr>
          <w:ilvl w:val="0"/>
          <w:numId w:val="29"/>
        </w:numPr>
      </w:pPr>
      <w:r>
        <w:rPr>
          <w:rStyle w:val="BodyText"/>
        </w:rPr>
        <w:t xml:space="preserve">Accréditation et accès aux données WHOIS non publiques Post RGPD </w:t>
      </w:r>
    </w:p>
    <w:p w14:paraId="369C570D" w14:textId="77777777" w:rsidR="00833747" w:rsidRDefault="00833747" w:rsidP="00833747">
      <w:pPr>
        <w:pStyle w:val="BodyText"/>
      </w:pPr>
      <w:r>
        <w:rPr>
          <w:rStyle w:val="BodyText"/>
        </w:rPr>
        <w:t xml:space="preserve">Mercredi 27 juin : </w:t>
      </w:r>
      <w:r w:rsidR="00410E7B">
        <w:rPr>
          <w:rStyle w:val="BodyText"/>
        </w:rPr>
        <w:t>s</w:t>
      </w:r>
      <w:r>
        <w:rPr>
          <w:rStyle w:val="BodyText"/>
        </w:rPr>
        <w:t>éance du GAC - Discussion sur le RGPD (2)</w:t>
      </w:r>
    </w:p>
    <w:p w14:paraId="26C45D13" w14:textId="77777777" w:rsidR="00833747" w:rsidRDefault="00833747" w:rsidP="00833747">
      <w:pPr>
        <w:pStyle w:val="BodyText"/>
      </w:pPr>
      <w:r>
        <w:rPr>
          <w:rStyle w:val="BodyText"/>
        </w:rPr>
        <w:lastRenderedPageBreak/>
        <w:t xml:space="preserve">Mercredi 27 juin : </w:t>
      </w:r>
      <w:r w:rsidR="00410E7B">
        <w:rPr>
          <w:rStyle w:val="BodyText"/>
        </w:rPr>
        <w:t>r</w:t>
      </w:r>
      <w:r>
        <w:rPr>
          <w:rStyle w:val="BodyText"/>
        </w:rPr>
        <w:t>éunion du GAC avec le Conseil d</w:t>
      </w:r>
      <w:r>
        <w:rPr>
          <w:rStyle w:val="BodyText"/>
          <w:rFonts w:cs="Century Gothic"/>
          <w:cs/>
        </w:rPr>
        <w:t>’</w:t>
      </w:r>
      <w:r>
        <w:rPr>
          <w:rStyle w:val="BodyText"/>
        </w:rPr>
        <w:t>administration de l</w:t>
      </w:r>
      <w:r>
        <w:rPr>
          <w:rStyle w:val="BodyText"/>
          <w:rFonts w:cs="Century Gothic"/>
          <w:cs/>
        </w:rPr>
        <w:t>’</w:t>
      </w:r>
      <w:r>
        <w:rPr>
          <w:rStyle w:val="BodyText"/>
        </w:rPr>
        <w:t>ICANN</w:t>
      </w:r>
    </w:p>
    <w:p w14:paraId="56336317" w14:textId="77777777" w:rsidR="00833747" w:rsidRDefault="00833747" w:rsidP="00833747">
      <w:pPr>
        <w:pStyle w:val="BodyText"/>
      </w:pPr>
      <w:r>
        <w:rPr>
          <w:rStyle w:val="BodyText"/>
        </w:rPr>
        <w:t xml:space="preserve">Mercredi 27 juin : </w:t>
      </w:r>
      <w:r w:rsidR="00410E7B">
        <w:rPr>
          <w:rStyle w:val="BodyText"/>
        </w:rPr>
        <w:t>r</w:t>
      </w:r>
      <w:r>
        <w:rPr>
          <w:rStyle w:val="BodyText"/>
        </w:rPr>
        <w:t>édaction du communiqué du GAC</w:t>
      </w:r>
    </w:p>
    <w:p w14:paraId="0C6D443F" w14:textId="77777777" w:rsidR="00833747" w:rsidRPr="00036D48" w:rsidRDefault="00833747" w:rsidP="00833747">
      <w:pPr>
        <w:pStyle w:val="BodyText"/>
      </w:pPr>
      <w:r>
        <w:rPr>
          <w:rStyle w:val="BodyText"/>
        </w:rPr>
        <w:t xml:space="preserve">Jeudi 28 juin : </w:t>
      </w:r>
      <w:r w:rsidR="00410E7B">
        <w:rPr>
          <w:rStyle w:val="BodyText"/>
        </w:rPr>
        <w:t>s</w:t>
      </w:r>
      <w:r>
        <w:rPr>
          <w:rStyle w:val="BodyText"/>
        </w:rPr>
        <w:t>pécification temporaire pour les données d</w:t>
      </w:r>
      <w:r>
        <w:rPr>
          <w:rStyle w:val="BodyText"/>
          <w:rFonts w:cs="Century Gothic"/>
          <w:cs/>
        </w:rPr>
        <w:t>’</w:t>
      </w:r>
      <w:r>
        <w:rPr>
          <w:rStyle w:val="BodyText"/>
        </w:rPr>
        <w:t>enregistrement des gTLD</w:t>
      </w:r>
    </w:p>
    <w:p w14:paraId="56DFE506" w14:textId="77777777" w:rsidR="00833747" w:rsidRDefault="00833747" w:rsidP="00833747">
      <w:pPr>
        <w:pStyle w:val="Heading2"/>
      </w:pPr>
      <w:r>
        <w:rPr>
          <w:rStyle w:val="Heading2"/>
        </w:rPr>
        <w:t>Informations complémentaires</w:t>
      </w:r>
    </w:p>
    <w:p w14:paraId="66620399" w14:textId="77777777" w:rsidR="00833747" w:rsidRDefault="00833747" w:rsidP="00833747">
      <w:pPr>
        <w:pStyle w:val="BodyText"/>
      </w:pPr>
      <w:hyperlink r:id="rId13" w:history="1">
        <w:r>
          <w:rPr>
            <w:rStyle w:val="Hyperlink"/>
          </w:rPr>
          <w:t>Site Web du GAC</w:t>
        </w:r>
      </w:hyperlink>
    </w:p>
    <w:p w14:paraId="5930FE6A" w14:textId="77777777" w:rsidR="00833747" w:rsidRDefault="00833747" w:rsidP="00833747">
      <w:pPr>
        <w:pStyle w:val="BodyText"/>
      </w:pPr>
      <w:hyperlink r:id="rId14" w:history="1">
        <w:r>
          <w:rPr>
            <w:rStyle w:val="Hyperlink"/>
          </w:rPr>
          <w:t>Page de l’ICANN sur la protection de données /questions liées au respect de la vie privée</w:t>
        </w:r>
      </w:hyperlink>
    </w:p>
    <w:p w14:paraId="479D0FAF" w14:textId="77777777" w:rsidR="00833747" w:rsidRDefault="00833747" w:rsidP="00833747">
      <w:pPr>
        <w:pStyle w:val="BodyText"/>
      </w:pPr>
      <w:hyperlink r:id="rId15" w:history="1">
        <w:r>
          <w:rPr>
            <w:rStyle w:val="Hyperlink"/>
          </w:rPr>
          <w:t>Programme de la réunion ICANN 62</w:t>
        </w:r>
      </w:hyperlink>
    </w:p>
    <w:p w14:paraId="6F6F8AFB" w14:textId="77777777" w:rsidR="00833747" w:rsidRPr="00EF36F3" w:rsidRDefault="00833747" w:rsidP="00833747">
      <w:pPr>
        <w:pStyle w:val="BodyText"/>
      </w:pPr>
    </w:p>
    <w:p w14:paraId="2533BA4B" w14:textId="77777777" w:rsidR="00833747" w:rsidRPr="0046328D" w:rsidRDefault="00833747" w:rsidP="00833747">
      <w:pPr>
        <w:pStyle w:val="BodyText"/>
      </w:pPr>
    </w:p>
    <w:p w14:paraId="4C7E9381" w14:textId="77777777" w:rsidR="00833747" w:rsidRDefault="00833747" w:rsidP="00833747">
      <w:pPr>
        <w:pStyle w:val="Heading2"/>
      </w:pPr>
      <w:bookmarkStart w:id="1" w:name="_Hlk484433727"/>
    </w:p>
    <w:p w14:paraId="2EEDA7E9" w14:textId="77777777" w:rsidR="00833747" w:rsidRDefault="00833747" w:rsidP="00833747">
      <w:pPr>
        <w:pStyle w:val="Heading2"/>
      </w:pPr>
      <w:r>
        <w:rPr>
          <w:rStyle w:val="Heading2"/>
        </w:rPr>
        <w:t>Gestion des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833747" w:rsidRPr="003F43E3" w14:paraId="5291E963" w14:textId="77777777" w:rsidTr="00833747">
        <w:tc>
          <w:tcPr>
            <w:tcW w:w="3261" w:type="dxa"/>
            <w:vAlign w:val="center"/>
          </w:tcPr>
          <w:p w14:paraId="6E4F6CA2" w14:textId="77777777" w:rsidR="00833747" w:rsidRPr="00DD74FA" w:rsidRDefault="00833747" w:rsidP="00833747">
            <w:pPr>
              <w:ind w:right="-132"/>
              <w:rPr>
                <w:rFonts w:ascii="Century Gothic" w:eastAsia="MS Mincho" w:hAnsi="Century Gothic"/>
                <w:b/>
                <w:sz w:val="20"/>
                <w:szCs w:val="20"/>
              </w:rPr>
            </w:pPr>
            <w:r>
              <w:rPr>
                <w:rStyle w:val="Normal"/>
                <w:rFonts w:ascii="Century Gothic" w:hAnsi="Century Gothic"/>
                <w:b/>
                <w:sz w:val="20"/>
              </w:rPr>
              <w:t>Titre</w:t>
            </w:r>
          </w:p>
        </w:tc>
        <w:tc>
          <w:tcPr>
            <w:tcW w:w="5811" w:type="dxa"/>
            <w:vAlign w:val="center"/>
          </w:tcPr>
          <w:p w14:paraId="78077EA1" w14:textId="77777777" w:rsidR="00833747" w:rsidRPr="00DD74FA" w:rsidRDefault="00833747" w:rsidP="00833747">
            <w:pPr>
              <w:ind w:right="545"/>
              <w:rPr>
                <w:rFonts w:ascii="Century Gothic" w:eastAsia="MS Mincho" w:hAnsi="Century Gothic"/>
                <w:sz w:val="20"/>
                <w:szCs w:val="20"/>
              </w:rPr>
            </w:pPr>
            <w:r>
              <w:rPr>
                <w:rStyle w:val="Normal"/>
                <w:rFonts w:ascii="Century Gothic" w:hAnsi="Century Gothic"/>
                <w:sz w:val="20"/>
              </w:rPr>
              <w:t>Aperçu du RGPD</w:t>
            </w:r>
          </w:p>
        </w:tc>
      </w:tr>
      <w:tr w:rsidR="00833747" w:rsidRPr="003F43E3" w14:paraId="4425B63F" w14:textId="77777777" w:rsidTr="00833747">
        <w:tc>
          <w:tcPr>
            <w:tcW w:w="3261" w:type="dxa"/>
            <w:vAlign w:val="center"/>
          </w:tcPr>
          <w:p w14:paraId="42B36164" w14:textId="77777777" w:rsidR="00833747" w:rsidRPr="00DD74FA" w:rsidRDefault="00833747" w:rsidP="00833747">
            <w:pPr>
              <w:ind w:right="-132"/>
              <w:rPr>
                <w:rFonts w:ascii="Century Gothic" w:eastAsia="MS Mincho" w:hAnsi="Century Gothic"/>
                <w:b/>
                <w:sz w:val="20"/>
                <w:szCs w:val="20"/>
              </w:rPr>
            </w:pPr>
            <w:r>
              <w:rPr>
                <w:rStyle w:val="Normal"/>
                <w:rFonts w:ascii="Century Gothic" w:hAnsi="Century Gothic"/>
                <w:b/>
                <w:sz w:val="20"/>
              </w:rPr>
              <w:t>Distribution</w:t>
            </w:r>
          </w:p>
        </w:tc>
        <w:tc>
          <w:tcPr>
            <w:tcW w:w="5811" w:type="dxa"/>
            <w:vAlign w:val="center"/>
          </w:tcPr>
          <w:p w14:paraId="76AC1EC7" w14:textId="77777777" w:rsidR="00833747" w:rsidRPr="00DD74FA" w:rsidRDefault="00833747" w:rsidP="00833747">
            <w:pPr>
              <w:ind w:right="545"/>
              <w:rPr>
                <w:rFonts w:ascii="Century Gothic" w:eastAsia="MS Mincho" w:hAnsi="Century Gothic"/>
                <w:sz w:val="20"/>
                <w:szCs w:val="20"/>
              </w:rPr>
            </w:pPr>
            <w:r>
              <w:rPr>
                <w:rStyle w:val="Normal"/>
                <w:rFonts w:ascii="Century Gothic" w:hAnsi="Century Gothic"/>
                <w:sz w:val="20"/>
              </w:rPr>
              <w:t>Membres du GAC</w:t>
            </w:r>
          </w:p>
        </w:tc>
      </w:tr>
      <w:tr w:rsidR="00833747" w:rsidRPr="003F43E3" w14:paraId="330F11E4" w14:textId="77777777" w:rsidTr="00833747">
        <w:tc>
          <w:tcPr>
            <w:tcW w:w="3261" w:type="dxa"/>
            <w:vAlign w:val="center"/>
          </w:tcPr>
          <w:p w14:paraId="75CD75C3" w14:textId="77777777" w:rsidR="00833747" w:rsidRPr="00DD74FA" w:rsidRDefault="00833747" w:rsidP="00833747">
            <w:pPr>
              <w:ind w:right="-132"/>
              <w:rPr>
                <w:rFonts w:ascii="Century Gothic" w:eastAsia="MS Mincho" w:hAnsi="Century Gothic"/>
                <w:b/>
                <w:sz w:val="20"/>
                <w:szCs w:val="20"/>
              </w:rPr>
            </w:pPr>
            <w:r>
              <w:rPr>
                <w:rStyle w:val="Normal"/>
                <w:rFonts w:ascii="Century Gothic" w:hAnsi="Century Gothic"/>
                <w:b/>
                <w:sz w:val="20"/>
              </w:rPr>
              <w:t>Date de distribution</w:t>
            </w:r>
          </w:p>
        </w:tc>
        <w:tc>
          <w:tcPr>
            <w:tcW w:w="5811" w:type="dxa"/>
            <w:vAlign w:val="center"/>
          </w:tcPr>
          <w:p w14:paraId="662BA2BD" w14:textId="77777777" w:rsidR="00833747" w:rsidRPr="00DD74FA" w:rsidRDefault="00833747" w:rsidP="00833747">
            <w:pPr>
              <w:ind w:right="545"/>
              <w:rPr>
                <w:rFonts w:ascii="Century Gothic" w:eastAsia="MS Mincho" w:hAnsi="Century Gothic"/>
                <w:sz w:val="20"/>
                <w:szCs w:val="20"/>
              </w:rPr>
            </w:pPr>
            <w:r>
              <w:rPr>
                <w:rStyle w:val="Normal"/>
                <w:rFonts w:ascii="Century Gothic" w:hAnsi="Century Gothic"/>
                <w:sz w:val="20"/>
              </w:rPr>
              <w:t>6 juin 2018</w:t>
            </w:r>
          </w:p>
        </w:tc>
      </w:tr>
      <w:bookmarkEnd w:id="1"/>
    </w:tbl>
    <w:p w14:paraId="642E1A83" w14:textId="77777777" w:rsidR="00833747" w:rsidRDefault="00833747" w:rsidP="00833747">
      <w:pPr>
        <w:pStyle w:val="BodyText"/>
        <w:ind w:right="545"/>
      </w:pPr>
    </w:p>
    <w:sectPr w:rsidR="00833747" w:rsidSect="00833747">
      <w:headerReference w:type="default" r:id="rId16"/>
      <w:footerReference w:type="default" r:id="rId17"/>
      <w:headerReference w:type="first" r:id="rId18"/>
      <w:footerReference w:type="first" r:id="rId19"/>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B52F8" w14:textId="77777777" w:rsidR="001B4B91" w:rsidRDefault="001B4B91" w:rsidP="00833747">
      <w:r>
        <w:separator/>
      </w:r>
    </w:p>
  </w:endnote>
  <w:endnote w:type="continuationSeparator" w:id="0">
    <w:p w14:paraId="5A519814" w14:textId="77777777" w:rsidR="001B4B91" w:rsidRDefault="001B4B91" w:rsidP="0083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834FF" w14:textId="77777777" w:rsidR="00833747" w:rsidRDefault="00833747" w:rsidP="00833747">
    <w:pPr>
      <w:pStyle w:val="Footer"/>
      <w:ind w:left="-567" w:right="261"/>
    </w:pPr>
  </w:p>
  <w:p w14:paraId="60A5DCF2" w14:textId="77777777" w:rsidR="00833747" w:rsidRPr="00B026C8" w:rsidRDefault="00833747" w:rsidP="00833747">
    <w:pPr>
      <w:pBdr>
        <w:top w:val="single" w:sz="18" w:space="1" w:color="1F497D"/>
      </w:pBdr>
      <w:spacing w:before="240"/>
      <w:ind w:right="545"/>
      <w:rPr>
        <w:rFonts w:ascii="Century Gothic" w:hAnsi="Century Gothic"/>
        <w:color w:val="00408E"/>
      </w:rPr>
    </w:pPr>
    <w:r>
      <w:rPr>
        <w:rStyle w:val="Normal"/>
        <w:rFonts w:ascii="Century Gothic" w:hAnsi="Century Gothic"/>
        <w:color w:val="00408E"/>
        <w:sz w:val="16"/>
      </w:rPr>
      <w:t xml:space="preserve">       </w:t>
    </w:r>
    <w:r>
      <w:rPr>
        <w:rStyle w:val="Normal"/>
        <w:rFonts w:ascii="Century Gothic" w:hAnsi="Century Gothic"/>
        <w:color w:val="00408E"/>
        <w:sz w:val="16"/>
      </w:rPr>
      <w:tab/>
    </w:r>
    <w:r>
      <w:rPr>
        <w:rStyle w:val="Normal"/>
        <w:rFonts w:ascii="Century Gothic" w:hAnsi="Century Gothic"/>
        <w:color w:val="00408E"/>
        <w:sz w:val="16"/>
      </w:rPr>
      <w:tab/>
      <w:t xml:space="preserve">      </w:t>
    </w:r>
    <w:r>
      <w:rPr>
        <w:rStyle w:val="Normal"/>
        <w:rFonts w:ascii="Century Gothic" w:hAnsi="Century Gothic"/>
        <w:color w:val="00408E"/>
        <w:sz w:val="16"/>
      </w:rPr>
      <w:tab/>
      <w:t xml:space="preserve">                </w:t>
    </w:r>
    <w:r>
      <w:rPr>
        <w:rStyle w:val="Normal"/>
        <w:rFonts w:ascii="Century Gothic" w:hAnsi="Century Gothic"/>
        <w:color w:val="00408E"/>
        <w:sz w:val="16"/>
      </w:rPr>
      <w:tab/>
    </w:r>
    <w:r>
      <w:rPr>
        <w:rStyle w:val="Normal"/>
        <w:rFonts w:ascii="Century Gothic" w:hAnsi="Century Gothic"/>
        <w:color w:val="00408E"/>
        <w:sz w:val="16"/>
      </w:rPr>
      <w:tab/>
    </w:r>
    <w:r>
      <w:rPr>
        <w:rStyle w:val="Normal"/>
        <w:rFonts w:ascii="Century Gothic" w:hAnsi="Century Gothic"/>
        <w:color w:val="00408E"/>
        <w:sz w:val="16"/>
      </w:rPr>
      <w:tab/>
    </w:r>
    <w:r>
      <w:rPr>
        <w:rStyle w:val="Normal"/>
        <w:rFonts w:ascii="Century Gothic" w:hAnsi="Century Gothic"/>
        <w:color w:val="00408E"/>
        <w:sz w:val="16"/>
      </w:rPr>
      <w:tab/>
    </w:r>
    <w:r>
      <w:rPr>
        <w:rStyle w:val="Normal"/>
        <w:rFonts w:ascii="Century Gothic" w:hAnsi="Century Gothic"/>
        <w:color w:val="00408E"/>
        <w:sz w:val="16"/>
      </w:rPr>
      <w:tab/>
    </w:r>
    <w:r>
      <w:rPr>
        <w:rStyle w:val="Normal"/>
        <w:rFonts w:ascii="Century Gothic" w:hAnsi="Century Gothic"/>
        <w:color w:val="00408E"/>
        <w:sz w:val="16"/>
      </w:rPr>
      <w:tab/>
    </w:r>
    <w:r>
      <w:rPr>
        <w:rStyle w:val="Normal"/>
        <w:rFonts w:ascii="Century Gothic" w:hAnsi="Century Gothic"/>
        <w:color w:val="00408E"/>
        <w:sz w:val="16"/>
      </w:rPr>
      <w:tab/>
    </w:r>
    <w:r>
      <w:rPr>
        <w:rStyle w:val="Normal"/>
        <w:rFonts w:ascii="Century Gothic" w:hAnsi="Century Gothic"/>
        <w:color w:val="00408E"/>
        <w:sz w:val="16"/>
      </w:rPr>
      <w:tab/>
      <w:t xml:space="preserve"> Page </w:t>
    </w:r>
    <w:r>
      <w:rPr>
        <w:rStyle w:val="Normal"/>
        <w:rFonts w:ascii="Century Gothic" w:hAnsi="Century Gothic"/>
        <w:color w:val="00408E"/>
        <w:sz w:val="16"/>
      </w:rPr>
      <w:fldChar w:fldCharType="begin"/>
    </w:r>
    <w:r>
      <w:rPr>
        <w:rStyle w:val="Normal"/>
        <w:rFonts w:ascii="Century Gothic" w:hAnsi="Century Gothic"/>
        <w:color w:val="00408E"/>
        <w:sz w:val="16"/>
      </w:rPr>
      <w:instrText xml:space="preserve"> PAGE </w:instrText>
    </w:r>
    <w:r>
      <w:rPr>
        <w:rStyle w:val="Normal"/>
        <w:rFonts w:ascii="Century Gothic" w:hAnsi="Century Gothic"/>
        <w:color w:val="00408E"/>
        <w:sz w:val="16"/>
      </w:rPr>
      <w:fldChar w:fldCharType="separate"/>
    </w:r>
    <w:r>
      <w:rPr>
        <w:rStyle w:val="Normal"/>
        <w:rFonts w:ascii="Century Gothic" w:hAnsi="Century Gothic"/>
        <w:color w:val="00408E"/>
        <w:sz w:val="16"/>
      </w:rPr>
      <w:t>1</w:t>
    </w:r>
    <w:r>
      <w:rPr>
        <w:rStyle w:val="Normal"/>
        <w:rFonts w:ascii="Century Gothic" w:hAnsi="Century Gothic"/>
        <w:color w:val="00408E"/>
        <w:sz w:val="16"/>
      </w:rPr>
      <w:fldChar w:fldCharType="end"/>
    </w:r>
    <w:r>
      <w:rPr>
        <w:rStyle w:val="Normal"/>
        <w:rFonts w:ascii="Century Gothic" w:hAnsi="Century Gothic"/>
        <w:color w:val="00408E"/>
        <w:sz w:val="16"/>
      </w:rPr>
      <w:t xml:space="preserve"> sur </w:t>
    </w:r>
    <w:r>
      <w:rPr>
        <w:rStyle w:val="Normal"/>
        <w:rFonts w:ascii="Century Gothic" w:hAnsi="Century Gothic"/>
        <w:color w:val="00408E"/>
        <w:sz w:val="16"/>
      </w:rPr>
      <w:fldChar w:fldCharType="begin"/>
    </w:r>
    <w:r>
      <w:rPr>
        <w:rStyle w:val="Normal"/>
        <w:rFonts w:ascii="Century Gothic" w:hAnsi="Century Gothic"/>
        <w:color w:val="00408E"/>
        <w:sz w:val="16"/>
      </w:rPr>
      <w:instrText xml:space="preserve"> NUMPAGES  </w:instrText>
    </w:r>
    <w:r>
      <w:rPr>
        <w:rStyle w:val="Normal"/>
        <w:rFonts w:ascii="Century Gothic" w:hAnsi="Century Gothic"/>
        <w:color w:val="00408E"/>
        <w:sz w:val="16"/>
      </w:rPr>
      <w:fldChar w:fldCharType="separate"/>
    </w:r>
    <w:r>
      <w:rPr>
        <w:rStyle w:val="Normal"/>
        <w:rFonts w:ascii="Century Gothic" w:hAnsi="Century Gothic"/>
        <w:color w:val="00408E"/>
        <w:sz w:val="16"/>
      </w:rPr>
      <w:t>1</w:t>
    </w:r>
    <w:r>
      <w:rPr>
        <w:rStyle w:val="Normal"/>
        <w:rFonts w:ascii="Century Gothic" w:hAnsi="Century Gothic"/>
        <w:color w:val="00408E"/>
        <w:sz w:val="16"/>
      </w:rPr>
      <w:fldChar w:fldCharType="end"/>
    </w:r>
  </w:p>
  <w:p w14:paraId="561A2699" w14:textId="77777777" w:rsidR="00833747" w:rsidRPr="000C0FD7" w:rsidRDefault="00833747" w:rsidP="00833747">
    <w:pPr>
      <w:pStyle w:val="Footer"/>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6D155" w14:textId="77777777" w:rsidR="00833747" w:rsidRPr="00C2562C" w:rsidRDefault="00833747" w:rsidP="00833747">
    <w:pPr>
      <w:pBdr>
        <w:top w:val="single" w:sz="18" w:space="1" w:color="1F497D"/>
      </w:pBdr>
      <w:spacing w:before="240"/>
      <w:ind w:right="544"/>
      <w:rPr>
        <w:color w:val="00408E"/>
        <w:sz w:val="2"/>
        <w:szCs w:val="2"/>
      </w:rPr>
    </w:pPr>
  </w:p>
  <w:p w14:paraId="369957A9" w14:textId="77777777" w:rsidR="00833747" w:rsidRPr="00F35A65" w:rsidRDefault="00833747" w:rsidP="00833747">
    <w:pPr>
      <w:pStyle w:val="NoSpacing"/>
      <w:ind w:right="544"/>
      <w:jc w:val="right"/>
      <w:rPr>
        <w:sz w:val="16"/>
        <w:szCs w:val="16"/>
        <w:lang w:val="en-US"/>
      </w:rPr>
    </w:pPr>
    <w:r w:rsidRPr="00F35A65">
      <w:rPr>
        <w:rStyle w:val="NoSpacing"/>
        <w:sz w:val="16"/>
        <w:lang w:val="en-US"/>
      </w:rPr>
      <w:t xml:space="preserve">203 Drummond Street, Carlton VIC 3053 </w:t>
    </w:r>
  </w:p>
  <w:p w14:paraId="33C4C78F" w14:textId="77777777" w:rsidR="00833747" w:rsidRPr="00F35A65" w:rsidRDefault="00833747" w:rsidP="00833747">
    <w:pPr>
      <w:pStyle w:val="NoSpacing"/>
      <w:ind w:right="544"/>
      <w:jc w:val="right"/>
      <w:rPr>
        <w:sz w:val="16"/>
        <w:szCs w:val="16"/>
        <w:lang w:val="en-US"/>
      </w:rPr>
    </w:pPr>
    <w:r w:rsidRPr="00F35A65">
      <w:rPr>
        <w:rStyle w:val="NoSpacing"/>
        <w:sz w:val="16"/>
        <w:lang w:val="en-US"/>
      </w:rPr>
      <w:t>03 9650 7222</w:t>
    </w:r>
  </w:p>
  <w:p w14:paraId="1F2898A3" w14:textId="77777777" w:rsidR="00833747" w:rsidRPr="00F35A65" w:rsidRDefault="00833747" w:rsidP="00833747">
    <w:pPr>
      <w:pStyle w:val="NoSpacing"/>
      <w:ind w:right="544"/>
      <w:jc w:val="right"/>
      <w:rPr>
        <w:sz w:val="16"/>
        <w:szCs w:val="16"/>
        <w:lang w:val="en-US"/>
      </w:rPr>
    </w:pPr>
    <w:r w:rsidRPr="00F35A65">
      <w:rPr>
        <w:rStyle w:val="NoSpacing"/>
        <w:sz w:val="16"/>
        <w:lang w:val="en-US"/>
      </w:rPr>
      <w:t xml:space="preserve">www.acig.com.au </w:t>
    </w:r>
  </w:p>
  <w:p w14:paraId="737456F7" w14:textId="77777777" w:rsidR="00833747" w:rsidRPr="00F35A65" w:rsidRDefault="00833747" w:rsidP="00833747">
    <w:pPr>
      <w:pStyle w:val="Footer"/>
      <w:jc w:val="center"/>
      <w:rPr>
        <w:color w:val="00408E"/>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9A127" w14:textId="77777777" w:rsidR="001B4B91" w:rsidRDefault="001B4B91" w:rsidP="00833747">
      <w:r>
        <w:separator/>
      </w:r>
    </w:p>
  </w:footnote>
  <w:footnote w:type="continuationSeparator" w:id="0">
    <w:p w14:paraId="4C295DF1" w14:textId="77777777" w:rsidR="001B4B91" w:rsidRDefault="001B4B91" w:rsidP="00833747">
      <w:r>
        <w:continuationSeparator/>
      </w:r>
    </w:p>
  </w:footnote>
  <w:footnote w:id="1">
    <w:p w14:paraId="0E72FE9C" w14:textId="77777777" w:rsidR="00833747" w:rsidRPr="009A63F4" w:rsidRDefault="00833747" w:rsidP="00833747">
      <w:pPr>
        <w:rPr>
          <w:rFonts w:ascii="Century Gothic" w:hAnsi="Century Gothic"/>
          <w:sz w:val="18"/>
          <w:szCs w:val="18"/>
        </w:rPr>
      </w:pPr>
      <w:r>
        <w:rPr>
          <w:rStyle w:val="FootnoteReference"/>
          <w:rFonts w:ascii="Century Gothic" w:hAnsi="Century Gothic"/>
          <w:sz w:val="18"/>
        </w:rPr>
        <w:footnoteRef/>
      </w:r>
      <w:r>
        <w:rPr>
          <w:rStyle w:val="Normal"/>
          <w:rFonts w:ascii="Century Gothic" w:hAnsi="Century Gothic"/>
          <w:sz w:val="18"/>
        </w:rPr>
        <w:t xml:space="preserve"> Résolution </w:t>
      </w:r>
      <w:r>
        <w:rPr>
          <w:rStyle w:val="Normal"/>
          <w:rFonts w:ascii="Century Gothic" w:hAnsi="Century Gothic"/>
          <w:color w:val="333333"/>
          <w:sz w:val="18"/>
        </w:rPr>
        <w:t>2018.05.17.09</w:t>
      </w:r>
    </w:p>
    <w:p w14:paraId="6C9E5A38" w14:textId="77777777" w:rsidR="00833747" w:rsidRDefault="0083374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82E37" w14:textId="00B5196E" w:rsidR="00833747" w:rsidRDefault="00714DE1" w:rsidP="00833747">
    <w:pPr>
      <w:pStyle w:val="Header"/>
      <w:tabs>
        <w:tab w:val="clear" w:pos="4680"/>
        <w:tab w:val="clear" w:pos="9360"/>
      </w:tabs>
      <w:ind w:left="7920" w:right="-306" w:firstLine="444"/>
    </w:pPr>
    <w:r>
      <w:rPr>
        <w:noProof/>
      </w:rPr>
      <mc:AlternateContent>
        <mc:Choice Requires="wps">
          <w:drawing>
            <wp:anchor distT="0" distB="0" distL="114300" distR="114300" simplePos="0" relativeHeight="251657728" behindDoc="1" locked="0" layoutInCell="1" allowOverlap="1" wp14:anchorId="16C7EA44" wp14:editId="3EBD56BB">
              <wp:simplePos x="0" y="0"/>
              <wp:positionH relativeFrom="column">
                <wp:posOffset>4257040</wp:posOffset>
              </wp:positionH>
              <wp:positionV relativeFrom="paragraph">
                <wp:posOffset>216535</wp:posOffset>
              </wp:positionV>
              <wp:extent cx="1705610" cy="29781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97815"/>
                      </a:xfrm>
                      <a:prstGeom prst="rect">
                        <a:avLst/>
                      </a:prstGeom>
                      <a:solidFill>
                        <a:srgbClr val="FFFFFF"/>
                      </a:solidFill>
                      <a:ln>
                        <a:noFill/>
                      </a:ln>
                      <a:extLst>
                        <a:ext uri="{91240B29-F687-4f45-9708-019B960494DF}"/>
                      </a:extLst>
                    </wps:spPr>
                    <wps:txbx>
                      <w:txbxContent>
                        <w:p w14:paraId="7557CCAC" w14:textId="77777777" w:rsidR="00833747" w:rsidRPr="00A12C22" w:rsidRDefault="00833747" w:rsidP="00833747">
                          <w:pPr>
                            <w:ind w:left="-142"/>
                            <w:rPr>
                              <w:rFonts w:ascii="Arial Narrow" w:hAnsi="Arial Narrow"/>
                              <w:color w:val="C00000"/>
                              <w:sz w:val="32"/>
                              <w:szCs w:val="32"/>
                            </w:rPr>
                          </w:pPr>
                          <w:r>
                            <w:rPr>
                              <w:rStyle w:val="Normal"/>
                              <w:rFonts w:ascii="Arial Narrow" w:hAnsi="Arial Narrow"/>
                              <w:color w:val="C00000"/>
                              <w:sz w:val="32"/>
                            </w:rPr>
                            <w:t>Secrétariat du GAC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7EA44" id="_x0000_t202" coordsize="21600,21600" o:spt="202" path="m,l,21600r21600,l21600,xe">
              <v:stroke joinstyle="miter"/>
              <v:path gradientshapeok="t" o:connecttype="rect"/>
            </v:shapetype>
            <v:shape id="Text Box 4" o:spid="_x0000_s1026" type="#_x0000_t202" style="position:absolute;left:0;text-align:left;margin-left:335.2pt;margin-top:17.05pt;width:134.3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f4NQIAADkEAAAOAAAAZHJzL2Uyb0RvYy54bWysU9uO0zAQfUfiHyy/t0lKeknUdLVtVYS0&#10;XKRdPsBxnItIPMZ2mxTEvzN22lLgDZEHK+OZOTNzznj9MHQtOQltGpAZjaYhJUJyKBpZZfTzy2Gy&#10;osRYJgvWghQZPQtDHzavX617lYoZ1NAWQhMEkSbtVUZra1UaBIbXomNmCkpIdJagO2bR1FVQaNYj&#10;etcGszBcBD3oQmngwhi83Y9OuvH4ZSm4/ViWRljSZhR7s/7U/szdGWzWLK00U3XDL22wf+iiY43E&#10;ojeoPbOMHHXzF1TXcA0GSjvl0AVQlg0XfgacJgr/mOa5Zkr4WZAco240mf8Hyz+cPmnSFBl9Q4lk&#10;HUr0IgZLtjCQ2LHTK5Ni0LPCMDvgNarsJzXqCfgXQyTsaiYr8ag19LVgBXYXuczgLnXEMQ4k799D&#10;gWXY0YIHGkrdOeqQDILoqNL5poxrhbuSy3C+iNDF0TdLlqto7kuw9JqttLFvBXTE/WRUo/IenZ2e&#10;jHXdsPQa4ooZaJvi0LStN3SV71pNTgy35OC/C/pvYa10wRJc2og43mCTWMP5XLte9e9JNIvD7SyZ&#10;HBar5SQu4/kkWYarSRgl22QRxkm8P/y4FLnme8IcRyNbdsiHiwA5FGekTsO4v/je8KcG/Y2SHnc3&#10;o+brkWlBSftOIv1JFMdu2b0Rz5czNPS9J7/3MMkRKqOWkvF3Z8cHclS6qWqsNAou4RElKxvPptN2&#10;7OoiNO6nJ/nyltwDuLd91K8Xv/kJAAD//wMAUEsDBBQABgAIAAAAIQCQF4Ai3gAAAAkBAAAPAAAA&#10;ZHJzL2Rvd25yZXYueG1sTI/RToNAEEXfTfyHzZj4YuwuFqEgS6Mmmr629gMGmAKR3SXsttC/d3zS&#10;x8mc3HtusV3MIC40+d5ZDdFKgSBbu6a3rYbj18fjBoQPaBscnCUNV/KwLW9vCswbN9s9XQ6hFRxi&#10;fY4auhDGXEpfd2TQr9xIln8nNxkMfE6tbCacOdwM8kmpRBrsLTd0ONJ7R/X34Ww0nHbzw3M2V5/h&#10;mO7j5A37tHJXre/vltcXEIGW8AfDrz6rQ8lOlTvbxotBQ5KqmFEN6zgCwUC2znhcpWETKZBlIf8v&#10;KH8AAAD//wMAUEsBAi0AFAAGAAgAAAAhALaDOJL+AAAA4QEAABMAAAAAAAAAAAAAAAAAAAAAAFtD&#10;b250ZW50X1R5cGVzXS54bWxQSwECLQAUAAYACAAAACEAOP0h/9YAAACUAQAACwAAAAAAAAAAAAAA&#10;AAAvAQAAX3JlbHMvLnJlbHNQSwECLQAUAAYACAAAACEAuY3n+DUCAAA5BAAADgAAAAAAAAAAAAAA&#10;AAAuAgAAZHJzL2Uyb0RvYy54bWxQSwECLQAUAAYACAAAACEAkBeAIt4AAAAJAQAADwAAAAAAAAAA&#10;AAAAAACPBAAAZHJzL2Rvd25yZXYueG1sUEsFBgAAAAAEAAQA8wAAAJoFAAAAAA==&#10;" stroked="f">
              <v:textbox>
                <w:txbxContent>
                  <w:p w14:paraId="7557CCAC" w14:textId="77777777" w:rsidR="00833747" w:rsidRPr="00A12C22" w:rsidRDefault="00833747" w:rsidP="00833747">
                    <w:pPr>
                      <w:ind w:left="-142"/>
                      <w:rPr>
                        <w:rFonts w:ascii="Arial Narrow" w:hAnsi="Arial Narrow"/>
                        <w:color w:val="C00000"/>
                        <w:sz w:val="32"/>
                        <w:szCs w:val="32"/>
                      </w:rPr>
                    </w:pPr>
                    <w:r>
                      <w:rPr>
                        <w:rStyle w:val="Normal"/>
                        <w:rFonts w:ascii="Arial Narrow" w:hAnsi="Arial Narrow"/>
                        <w:color w:val="C00000"/>
                        <w:sz w:val="32"/>
                      </w:rPr>
                      <w:t>Secrétariat du GAC</w:t>
                    </w:r>
                  </w:p>
                </w:txbxContent>
              </v:textbox>
            </v:shape>
          </w:pict>
        </mc:Fallback>
      </mc:AlternateContent>
    </w:r>
    <w:r>
      <w:rPr>
        <w:noProof/>
      </w:rPr>
      <w:drawing>
        <wp:inline distT="0" distB="0" distL="0" distR="0" wp14:anchorId="63CDDCD5" wp14:editId="08F8ED5A">
          <wp:extent cx="424180" cy="271780"/>
          <wp:effectExtent l="0" t="0" r="0" b="0"/>
          <wp:docPr id="1"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180" cy="271780"/>
                  </a:xfrm>
                  <a:prstGeom prst="rect">
                    <a:avLst/>
                  </a:prstGeom>
                  <a:noFill/>
                  <a:ln>
                    <a:noFill/>
                  </a:ln>
                </pic:spPr>
              </pic:pic>
            </a:graphicData>
          </a:graphic>
        </wp:inline>
      </w:drawing>
    </w:r>
    <w:r w:rsidR="00833747">
      <w:rPr>
        <w:rStyle w:val="Head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F251" w14:textId="3C7C1FB0" w:rsidR="00833747" w:rsidRDefault="00714DE1" w:rsidP="00833747">
    <w:pPr>
      <w:pStyle w:val="Header"/>
      <w:tabs>
        <w:tab w:val="clear" w:pos="9360"/>
      </w:tabs>
      <w:ind w:left="-851"/>
      <w:jc w:val="center"/>
    </w:pPr>
    <w:r>
      <w:rPr>
        <w:noProof/>
      </w:rPr>
      <w:drawing>
        <wp:inline distT="0" distB="0" distL="0" distR="0" wp14:anchorId="6B9DBAF5" wp14:editId="4F0CE363">
          <wp:extent cx="3053080" cy="790575"/>
          <wp:effectExtent l="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308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FE7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A2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38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DE9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E4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6B0A"/>
    <w:multiLevelType w:val="hybridMultilevel"/>
    <w:tmpl w:val="359AD0C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33E09C1"/>
    <w:multiLevelType w:val="hybridMultilevel"/>
    <w:tmpl w:val="E76A5F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09692396"/>
    <w:multiLevelType w:val="multilevel"/>
    <w:tmpl w:val="F056D206"/>
    <w:lvl w:ilvl="0">
      <w:start w:val="1"/>
      <w:numFmt w:val="decimal"/>
      <w:lvlText w:val="%1."/>
      <w:lvlJc w:val="left"/>
      <w:pPr>
        <w:tabs>
          <w:tab w:val="num" w:pos="-600"/>
        </w:tabs>
        <w:ind w:left="-600"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13" w15:restartNumberingAfterBreak="0">
    <w:nsid w:val="0A700F5E"/>
    <w:multiLevelType w:val="hybridMultilevel"/>
    <w:tmpl w:val="72A6DD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15533AD2"/>
    <w:multiLevelType w:val="hybridMultilevel"/>
    <w:tmpl w:val="8C18EB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1D4D54EB"/>
    <w:multiLevelType w:val="hybridMultilevel"/>
    <w:tmpl w:val="2158A6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22572868"/>
    <w:multiLevelType w:val="hybridMultilevel"/>
    <w:tmpl w:val="AA46C4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27A944F8"/>
    <w:multiLevelType w:val="hybridMultilevel"/>
    <w:tmpl w:val="75A4B69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2AF110C2"/>
    <w:multiLevelType w:val="hybridMultilevel"/>
    <w:tmpl w:val="0FF2209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07523C5"/>
    <w:multiLevelType w:val="hybridMultilevel"/>
    <w:tmpl w:val="039E107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4A245BD"/>
    <w:multiLevelType w:val="hybridMultilevel"/>
    <w:tmpl w:val="3446D7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D94643"/>
    <w:multiLevelType w:val="hybridMultilevel"/>
    <w:tmpl w:val="56CE84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541271BD"/>
    <w:multiLevelType w:val="hybridMultilevel"/>
    <w:tmpl w:val="5B6467F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8283D1D"/>
    <w:multiLevelType w:val="hybridMultilevel"/>
    <w:tmpl w:val="6E60CC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A4B3203"/>
    <w:multiLevelType w:val="hybridMultilevel"/>
    <w:tmpl w:val="9EF6BC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5AFA7D23"/>
    <w:multiLevelType w:val="hybridMultilevel"/>
    <w:tmpl w:val="0F4420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5B7F5318"/>
    <w:multiLevelType w:val="hybridMultilevel"/>
    <w:tmpl w:val="A88A34A0"/>
    <w:lvl w:ilvl="0">
      <w:start w:val="1"/>
      <w:numFmt w:val="bullet"/>
      <w:pStyle w:val="ListBullet2"/>
      <w:lvlText w:val=""/>
      <w:lvlJc w:val="left"/>
      <w:pPr>
        <w:ind w:left="1361" w:hanging="360"/>
      </w:pPr>
      <w:rPr>
        <w:rFonts w:ascii="Symbol" w:hAnsi="Symbol" w:hint="default"/>
      </w:rPr>
    </w:lvl>
    <w:lvl w:ilvl="1" w:tentative="1">
      <w:start w:val="1"/>
      <w:numFmt w:val="bullet"/>
      <w:lvlText w:val="o"/>
      <w:lvlJc w:val="left"/>
      <w:pPr>
        <w:ind w:left="2081" w:hanging="360"/>
      </w:pPr>
      <w:rPr>
        <w:rFonts w:ascii="Courier New" w:hAnsi="Courier New" w:cs="Courier New" w:hint="default"/>
      </w:rPr>
    </w:lvl>
    <w:lvl w:ilvl="2" w:tentative="1">
      <w:start w:val="1"/>
      <w:numFmt w:val="bullet"/>
      <w:lvlText w:val=""/>
      <w:lvlJc w:val="left"/>
      <w:pPr>
        <w:ind w:left="2801" w:hanging="360"/>
      </w:pPr>
      <w:rPr>
        <w:rFonts w:ascii="Wingdings" w:hAnsi="Wingdings" w:hint="default"/>
      </w:rPr>
    </w:lvl>
    <w:lvl w:ilvl="3" w:tentative="1">
      <w:start w:val="1"/>
      <w:numFmt w:val="bullet"/>
      <w:lvlText w:val=""/>
      <w:lvlJc w:val="left"/>
      <w:pPr>
        <w:ind w:left="3521" w:hanging="360"/>
      </w:pPr>
      <w:rPr>
        <w:rFonts w:ascii="Symbol" w:hAnsi="Symbol" w:hint="default"/>
      </w:rPr>
    </w:lvl>
    <w:lvl w:ilvl="4" w:tentative="1">
      <w:start w:val="1"/>
      <w:numFmt w:val="bullet"/>
      <w:lvlText w:val="o"/>
      <w:lvlJc w:val="left"/>
      <w:pPr>
        <w:ind w:left="4241" w:hanging="360"/>
      </w:pPr>
      <w:rPr>
        <w:rFonts w:ascii="Courier New" w:hAnsi="Courier New" w:cs="Courier New" w:hint="default"/>
      </w:rPr>
    </w:lvl>
    <w:lvl w:ilvl="5" w:tentative="1">
      <w:start w:val="1"/>
      <w:numFmt w:val="bullet"/>
      <w:lvlText w:val=""/>
      <w:lvlJc w:val="left"/>
      <w:pPr>
        <w:ind w:left="4961" w:hanging="360"/>
      </w:pPr>
      <w:rPr>
        <w:rFonts w:ascii="Wingdings" w:hAnsi="Wingdings" w:hint="default"/>
      </w:rPr>
    </w:lvl>
    <w:lvl w:ilvl="6" w:tentative="1">
      <w:start w:val="1"/>
      <w:numFmt w:val="bullet"/>
      <w:lvlText w:val=""/>
      <w:lvlJc w:val="left"/>
      <w:pPr>
        <w:ind w:left="5681" w:hanging="360"/>
      </w:pPr>
      <w:rPr>
        <w:rFonts w:ascii="Symbol" w:hAnsi="Symbol" w:hint="default"/>
      </w:rPr>
    </w:lvl>
    <w:lvl w:ilvl="7" w:tentative="1">
      <w:start w:val="1"/>
      <w:numFmt w:val="bullet"/>
      <w:lvlText w:val="o"/>
      <w:lvlJc w:val="left"/>
      <w:pPr>
        <w:ind w:left="6401" w:hanging="360"/>
      </w:pPr>
      <w:rPr>
        <w:rFonts w:ascii="Courier New" w:hAnsi="Courier New" w:cs="Courier New" w:hint="default"/>
      </w:rPr>
    </w:lvl>
    <w:lvl w:ilvl="8" w:tentative="1">
      <w:start w:val="1"/>
      <w:numFmt w:val="bullet"/>
      <w:lvlText w:val=""/>
      <w:lvlJc w:val="left"/>
      <w:pPr>
        <w:ind w:left="7121" w:hanging="360"/>
      </w:pPr>
      <w:rPr>
        <w:rFonts w:ascii="Wingdings" w:hAnsi="Wingdings" w:hint="default"/>
      </w:rPr>
    </w:lvl>
  </w:abstractNum>
  <w:abstractNum w:abstractNumId="27" w15:restartNumberingAfterBreak="0">
    <w:nsid w:val="629C3AB7"/>
    <w:multiLevelType w:val="hybridMultilevel"/>
    <w:tmpl w:val="6AB64F9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76DD5D1E"/>
    <w:multiLevelType w:val="hybridMultilevel"/>
    <w:tmpl w:val="29A86D8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78452E84"/>
    <w:multiLevelType w:val="hybridMultilevel"/>
    <w:tmpl w:val="BE565F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5"/>
  </w:num>
  <w:num w:numId="14">
    <w:abstractNumId w:val="13"/>
  </w:num>
  <w:num w:numId="15">
    <w:abstractNumId w:val="19"/>
  </w:num>
  <w:num w:numId="16">
    <w:abstractNumId w:val="20"/>
  </w:num>
  <w:num w:numId="17">
    <w:abstractNumId w:val="10"/>
  </w:num>
  <w:num w:numId="18">
    <w:abstractNumId w:val="18"/>
  </w:num>
  <w:num w:numId="19">
    <w:abstractNumId w:val="23"/>
  </w:num>
  <w:num w:numId="20">
    <w:abstractNumId w:val="29"/>
  </w:num>
  <w:num w:numId="21">
    <w:abstractNumId w:val="24"/>
  </w:num>
  <w:num w:numId="22">
    <w:abstractNumId w:val="21"/>
  </w:num>
  <w:num w:numId="23">
    <w:abstractNumId w:val="12"/>
  </w:num>
  <w:num w:numId="24">
    <w:abstractNumId w:val="27"/>
  </w:num>
  <w:num w:numId="25">
    <w:abstractNumId w:val="17"/>
  </w:num>
  <w:num w:numId="26">
    <w:abstractNumId w:val="28"/>
  </w:num>
  <w:num w:numId="27">
    <w:abstractNumId w:val="22"/>
  </w:num>
  <w:num w:numId="28">
    <w:abstractNumId w:val="16"/>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0C"/>
    <w:rsid w:val="001B4B91"/>
    <w:rsid w:val="00410E7B"/>
    <w:rsid w:val="00714DE1"/>
    <w:rsid w:val="00833747"/>
    <w:rsid w:val="00F3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892142"/>
  <w15:docId w15:val="{5F953A18-CA1C-4191-9049-289EF509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6CEE"/>
    <w:rPr>
      <w:rFonts w:ascii="Calibri" w:eastAsia="Times New Roman" w:hAnsi="Calibri"/>
      <w:sz w:val="24"/>
      <w:szCs w:val="24"/>
      <w:lang w:val="fr-FR" w:eastAsia="fr-FR"/>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val="fr-FR" w:eastAsia="fr-FR"/>
    </w:rPr>
  </w:style>
  <w:style w:type="paragraph" w:styleId="Heading2">
    <w:name w:val="heading 2"/>
    <w:basedOn w:val="BodyText"/>
    <w:next w:val="BodyText"/>
    <w:link w:val="Heading2Char"/>
    <w:autoRedefine/>
    <w:uiPriority w:val="9"/>
    <w:unhideWhenUsed/>
    <w:qFormat/>
    <w:rsid w:val="00E15459"/>
    <w:pPr>
      <w:keepNext/>
      <w:keepLines/>
      <w:ind w:right="545"/>
      <w:outlineLvl w:val="1"/>
    </w:pPr>
    <w:rPr>
      <w:b/>
      <w:color w:val="1F4E79"/>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15459"/>
    <w:rPr>
      <w:b/>
      <w:color w:val="1F4E79"/>
      <w:sz w:val="24"/>
      <w:szCs w:val="24"/>
      <w:lang w:val="fr-FR" w:eastAsia="fr-FR"/>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link w:val="Header"/>
    <w:uiPriority w:val="99"/>
    <w:rsid w:val="00AD1076"/>
    <w:rPr>
      <w:rFonts w:ascii="Century Gothic" w:hAnsi="Century Gothic"/>
      <w:szCs w:val="22"/>
      <w:lang w:val="fr-FR" w:eastAsia="fr-FR"/>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FooterChar">
    <w:name w:val="Footer Char"/>
    <w:link w:val="Footer"/>
    <w:uiPriority w:val="99"/>
    <w:rsid w:val="00A24449"/>
    <w:rPr>
      <w:rFonts w:ascii="Century Gothic" w:hAnsi="Century Gothic"/>
      <w:szCs w:val="22"/>
      <w:lang w:val="fr-FR" w:eastAsia="fr-FR"/>
    </w:rPr>
  </w:style>
  <w:style w:type="character" w:customStyle="1" w:styleId="Heading1Char">
    <w:name w:val="Heading 1 Char"/>
    <w:link w:val="Heading1"/>
    <w:uiPriority w:val="9"/>
    <w:rsid w:val="00CF4E9A"/>
    <w:rPr>
      <w:b/>
      <w:color w:val="00408E"/>
      <w:sz w:val="28"/>
      <w:szCs w:val="28"/>
      <w:lang w:val="fr-FR" w:eastAsia="fr-FR"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lang w:val="fr-FR" w:eastAsia="fr-FR"/>
    </w:rPr>
  </w:style>
  <w:style w:type="character" w:customStyle="1" w:styleId="BodyTextChar">
    <w:name w:val="Body Text Char"/>
    <w:link w:val="BodyText"/>
    <w:uiPriority w:val="99"/>
    <w:rsid w:val="004E22C7"/>
    <w:rPr>
      <w:szCs w:val="22"/>
      <w:lang w:val="fr-FR" w:eastAsia="fr-FR" w:bidi="ar-SA"/>
    </w:rPr>
  </w:style>
  <w:style w:type="character" w:customStyle="1" w:styleId="TitleChar">
    <w:name w:val="Title Char"/>
    <w:link w:val="Title"/>
    <w:uiPriority w:val="10"/>
    <w:rsid w:val="00A86B36"/>
    <w:rPr>
      <w:rFonts w:eastAsia="Times New Roman"/>
      <w:b/>
      <w:bCs/>
      <w:color w:val="00408E"/>
      <w:kern w:val="28"/>
      <w:sz w:val="48"/>
      <w:szCs w:val="48"/>
      <w:lang w:val="fr-FR" w:eastAsia="fr-FR"/>
    </w:rPr>
  </w:style>
  <w:style w:type="character" w:styleId="Hyperlink">
    <w:name w:val="Hyperlink"/>
    <w:uiPriority w:val="99"/>
    <w:unhideWhenUsed/>
    <w:rsid w:val="0072423D"/>
    <w:rPr>
      <w:color w:val="0000FF"/>
      <w:u w:val="single"/>
      <w:lang w:val="fr-FR" w:eastAsia="fr-FR"/>
    </w:rPr>
  </w:style>
  <w:style w:type="character" w:customStyle="1" w:styleId="Heading3Char">
    <w:name w:val="Heading 3 Char"/>
    <w:link w:val="Heading3"/>
    <w:uiPriority w:val="9"/>
    <w:rsid w:val="00CF4E9A"/>
    <w:rPr>
      <w:b/>
      <w:color w:val="00408E"/>
      <w:szCs w:val="22"/>
      <w:lang w:val="fr-FR" w:eastAsia="fr-FR"/>
    </w:rPr>
  </w:style>
  <w:style w:type="character" w:customStyle="1" w:styleId="Heading4Char">
    <w:name w:val="Heading 4 Char"/>
    <w:link w:val="Heading4"/>
    <w:uiPriority w:val="9"/>
    <w:rsid w:val="004E22C7"/>
    <w:rPr>
      <w:color w:val="00408E"/>
      <w:szCs w:val="22"/>
      <w:lang w:val="fr-FR" w:eastAsia="fr-FR"/>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12"/>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Bullet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Bullet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rPr>
  </w:style>
  <w:style w:type="paragraph" w:styleId="ListBullet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rPr>
  </w:style>
  <w:style w:type="paragraph" w:styleId="ListParagraph">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NoSpacing">
    <w:name w:val="No Spacing"/>
    <w:uiPriority w:val="1"/>
    <w:qFormat/>
    <w:rsid w:val="00C2562C"/>
    <w:pPr>
      <w:jc w:val="both"/>
    </w:pPr>
    <w:rPr>
      <w:szCs w:val="22"/>
      <w:lang w:val="fr-FR" w:eastAsia="fr-FR"/>
    </w:rPr>
  </w:style>
  <w:style w:type="paragraph" w:styleId="FootnoteText">
    <w:name w:val="footnote text"/>
    <w:basedOn w:val="Normal"/>
    <w:link w:val="FootnoteTextChar"/>
    <w:uiPriority w:val="99"/>
    <w:unhideWhenUsed/>
    <w:rsid w:val="00406CEE"/>
  </w:style>
  <w:style w:type="character" w:customStyle="1" w:styleId="FootnoteTextChar">
    <w:name w:val="Footnote Text Char"/>
    <w:link w:val="FootnoteText"/>
    <w:uiPriority w:val="99"/>
    <w:rsid w:val="00406CEE"/>
    <w:rPr>
      <w:rFonts w:ascii="Calibri" w:eastAsia="Times New Roman" w:hAnsi="Calibri" w:cs="Times New Roman"/>
      <w:sz w:val="24"/>
      <w:szCs w:val="24"/>
      <w:lang w:val="fr-FR" w:eastAsia="fr-FR"/>
    </w:rPr>
  </w:style>
  <w:style w:type="character" w:styleId="FootnoteReference">
    <w:name w:val="footnote reference"/>
    <w:uiPriority w:val="99"/>
    <w:unhideWhenUsed/>
    <w:rsid w:val="00406CEE"/>
    <w:rPr>
      <w:vertAlign w:val="superscript"/>
      <w:lang w:val="fr-FR" w:eastAsia="fr-FR"/>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link w:val="BalloonText"/>
    <w:uiPriority w:val="99"/>
    <w:semiHidden/>
    <w:rsid w:val="00406CEE"/>
    <w:rPr>
      <w:rFonts w:ascii="Tahoma" w:eastAsia="Times New Roman" w:hAnsi="Tahoma" w:cs="Tahoma"/>
      <w:sz w:val="16"/>
      <w:szCs w:val="16"/>
      <w:lang w:val="fr-FR" w:eastAsia="fr-FR"/>
    </w:rPr>
  </w:style>
  <w:style w:type="character" w:styleId="UnresolvedMention">
    <w:name w:val="Unresolved Mention"/>
    <w:uiPriority w:val="99"/>
    <w:rsid w:val="00302AA4"/>
    <w:rPr>
      <w:color w:val="80808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c.icann.org/contentMigrated/icann61-gac-communique" TargetMode="External"/><Relationship Id="rId13" Type="http://schemas.openxmlformats.org/officeDocument/2006/relationships/hyperlink" Target="https://gac.icann.org/activity/whois-compliance-with-gdpr-referenc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nso.icann.org/sites/default/files/file/field-file-attach/annex-4-epdp-manual-30jan18-e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pages/gtld-registration-data-specs-en/" TargetMode="External"/><Relationship Id="rId5" Type="http://schemas.openxmlformats.org/officeDocument/2006/relationships/webSettings" Target="webSettings.xml"/><Relationship Id="rId15" Type="http://schemas.openxmlformats.org/officeDocument/2006/relationships/hyperlink" Target="https://62.schedule.icann.org/" TargetMode="External"/><Relationship Id="rId10" Type="http://schemas.openxmlformats.org/officeDocument/2006/relationships/hyperlink" Target="https://gac.icann.org/activity/whois-compliance-with-gdpr-referenc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cann.org/resources/board-material/resolutions-2018-05-17-en" TargetMode="External"/><Relationship Id="rId14" Type="http://schemas.openxmlformats.org/officeDocument/2006/relationships/hyperlink" Target="https://www.icann.org/dataprotection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FBDC0-6347-46CA-A847-680A3505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7823</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 Title</vt:lpstr>
      <vt:lpstr>Document Title</vt:lpstr>
    </vt:vector>
  </TitlesOfParts>
  <Company/>
  <LinksUpToDate>false</LinksUpToDate>
  <CharactersWithSpaces>9177</CharactersWithSpaces>
  <SharedDoc>false</SharedDoc>
  <HLinks>
    <vt:vector size="48" baseType="variant">
      <vt:variant>
        <vt:i4>6291488</vt:i4>
      </vt:variant>
      <vt:variant>
        <vt:i4>21</vt:i4>
      </vt:variant>
      <vt:variant>
        <vt:i4>0</vt:i4>
      </vt:variant>
      <vt:variant>
        <vt:i4>5</vt:i4>
      </vt:variant>
      <vt:variant>
        <vt:lpwstr>https://62.schedule.icann.org/</vt:lpwstr>
      </vt:variant>
      <vt:variant>
        <vt:lpwstr/>
      </vt:variant>
      <vt:variant>
        <vt:i4>3342375</vt:i4>
      </vt:variant>
      <vt:variant>
        <vt:i4>18</vt:i4>
      </vt:variant>
      <vt:variant>
        <vt:i4>0</vt:i4>
      </vt:variant>
      <vt:variant>
        <vt:i4>5</vt:i4>
      </vt:variant>
      <vt:variant>
        <vt:lpwstr>https://www.icann.org/dataprotectionprivacy</vt:lpwstr>
      </vt:variant>
      <vt:variant>
        <vt:lpwstr/>
      </vt:variant>
      <vt:variant>
        <vt:i4>2162803</vt:i4>
      </vt:variant>
      <vt:variant>
        <vt:i4>15</vt:i4>
      </vt:variant>
      <vt:variant>
        <vt:i4>0</vt:i4>
      </vt:variant>
      <vt:variant>
        <vt:i4>5</vt:i4>
      </vt:variant>
      <vt:variant>
        <vt:lpwstr>https://gac.icann.org/activity/whois-compliance-with-gdpr-reference</vt:lpwstr>
      </vt:variant>
      <vt:variant>
        <vt:lpwstr/>
      </vt:variant>
      <vt:variant>
        <vt:i4>5832773</vt:i4>
      </vt:variant>
      <vt:variant>
        <vt:i4>12</vt:i4>
      </vt:variant>
      <vt:variant>
        <vt:i4>0</vt:i4>
      </vt:variant>
      <vt:variant>
        <vt:i4>5</vt:i4>
      </vt:variant>
      <vt:variant>
        <vt:lpwstr>https://gnso.icann.org/sites/default/files/file/field-file-attach/annex-4-epdp-manual-30jan18-en.pdf</vt:lpwstr>
      </vt:variant>
      <vt:variant>
        <vt:lpwstr/>
      </vt:variant>
      <vt:variant>
        <vt:i4>3735668</vt:i4>
      </vt:variant>
      <vt:variant>
        <vt:i4>9</vt:i4>
      </vt:variant>
      <vt:variant>
        <vt:i4>0</vt:i4>
      </vt:variant>
      <vt:variant>
        <vt:i4>5</vt:i4>
      </vt:variant>
      <vt:variant>
        <vt:lpwstr>https://www.icann.org/resources/pages/gtld-registration-data-specs-en/</vt:lpwstr>
      </vt:variant>
      <vt:variant>
        <vt:lpwstr>annex</vt:lpwstr>
      </vt:variant>
      <vt:variant>
        <vt:i4>2162803</vt:i4>
      </vt:variant>
      <vt:variant>
        <vt:i4>6</vt:i4>
      </vt:variant>
      <vt:variant>
        <vt:i4>0</vt:i4>
      </vt:variant>
      <vt:variant>
        <vt:i4>5</vt:i4>
      </vt:variant>
      <vt:variant>
        <vt:lpwstr>https://gac.icann.org/activity/whois-compliance-with-gdpr-reference</vt:lpwstr>
      </vt:variant>
      <vt:variant>
        <vt:lpwstr/>
      </vt:variant>
      <vt:variant>
        <vt:i4>5832730</vt:i4>
      </vt:variant>
      <vt:variant>
        <vt:i4>3</vt:i4>
      </vt:variant>
      <vt:variant>
        <vt:i4>0</vt:i4>
      </vt:variant>
      <vt:variant>
        <vt:i4>5</vt:i4>
      </vt:variant>
      <vt:variant>
        <vt:lpwstr>https://www.icann.org/resources/board-material/resolutions-2018-05-17-en</vt:lpwstr>
      </vt:variant>
      <vt:variant>
        <vt:lpwstr/>
      </vt:variant>
      <vt:variant>
        <vt:i4>5636105</vt:i4>
      </vt:variant>
      <vt:variant>
        <vt:i4>0</vt:i4>
      </vt:variant>
      <vt:variant>
        <vt:i4>0</vt:i4>
      </vt:variant>
      <vt:variant>
        <vt:i4>5</vt:i4>
      </vt:variant>
      <vt:variant>
        <vt:lpwstr>https://gac.icann.org/contentMigrated/icann61-gac-communique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keywords/>
  <cp:lastModifiedBy>LS Pros</cp:lastModifiedBy>
  <cp:revision>2</cp:revision>
  <cp:lastPrinted>2013-11-27T05:14:00Z</cp:lastPrinted>
  <dcterms:created xsi:type="dcterms:W3CDTF">2018-06-19T14:36:00Z</dcterms:created>
  <dcterms:modified xsi:type="dcterms:W3CDTF">2018-06-19T14:36:00Z</dcterms:modified>
</cp:coreProperties>
</file>